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2S/103/2018 z 27. 11. 2018</w:t>
      </w:r>
    </w:p>
    <w:p>
      <w:r>
        <w:t>Uznesenie Krajského súdu Bratislava z 27. novembra 2018, sp. zn. 2S/103/2018, ECLI:SK:KSBA:2018:1018200949.1</w:t>
      </w:r>
    </w:p>
    <w:p>
      <w:r>
        <w:t>Súd: Krajský súd Bratislava</w:t>
      </w:r>
    </w:p>
    <w:p>
      <w:r>
        <w:t>Spisová značka: 2S/103/2018</w:t>
      </w:r>
    </w:p>
    <w:p>
      <w:r>
        <w:t>ECLI: ECLI:SK:KSBA:2018:1018200949.1</w:t>
      </w:r>
    </w:p>
    <w:p>
      <w:r>
        <w:t>Dátum vydania: 27. 11. 2018</w:t>
      </w:r>
    </w:p>
    <w:p>
      <w:r>
        <w:t>Forma: Uznesenie</w:t>
      </w:r>
    </w:p>
    <w:p>
      <w:pPr>
        <w:pStyle w:val="Heading2"/>
      </w:pPr>
      <w:r>
        <w:t>Text rozhodnutia</w:t>
      </w:r>
    </w:p>
    <w:p>
      <w:r>
        <w:t>Súd: Krajský súd Bratislava Spisová značka: 2S/103/2018 Identifikačné číslo súdneho spisu: 1018200949 Dátum vydania rozhodnutia: 28. 11. 2018 Meno a priezvisko sudcu, VSÚ: JUDr. Vlastimil Pavlikovský ECLI: ECLI:SK:KSBA:2018:1018200949.1 Uznesenie Krajský súd v Bratislave v právnej veci žalobcu: KAFFEX, spoločnosť s ručením obmedzeným, IČO: Štrbské Pleso - Poštová 4021/8, 059 85 Štrba, právne zastúpený: JUDr. Milan Žoldoš, advokát, s.r.o., Karpatská 11, 058 01 Poprad, proti žalovanému: Ministerstvo práce, sociálnych vecí a rodiny Slovenskej republiky, Špitálska 4 - 8, 816 43 Bratislava, v konaní o preskúmanie oznámenia žalovaného č. 11583/2018-M_OMPČ zo dňa 05.03.2018 a o návrhu na priznanie odkladného účinku, takto r o z h o d o l : Krajský súd v Bratislave návrh žalobcu na priznanie odkladného účinku správnej žaloby zo dňa 21.06.2018 z a m i e t a. o d ô v o d n e n i e : 1. Žalobou zo dňa 21.06.2018 podanou na Krajský súd v Bratislave dňa 21.06.2018 sa žalobca domáhal preskúmania zákonnosti rozhodnutia žalovaného č. 11583/2018-M_OMPČ zo dňa 05.03.2018, ktorým žalovaný zamietol rozklad žalobcu a potvrdil svoje prvostupňové rozhodnutie č. 12628/2017-M ODMASK, 30544/2017 zo dňa 10.07.2017. Prvostupňovým rozhodnutím žalovaný rozhodol o vrátení čiastky XX.XXX,XX eur z dôvodu, že žalobca porušil zákonom ustanovené pravidlá a postupy verejného obstarávania, ktoré mohli mať v vplyv na výsledok verejného obstarávania. 2. Žalobca v podanej žalobe zároveň požiadal súd o priznanie odkladného účinok napadnutého rozhodnutia žalovaného podľa § 185 SSP. V návrhu na priznanie odkladu vykonateľnosti žalobca uviedol, že keďže je napadnuté rozhodnutie spôsobilým exekučným titulom a zo správania žalovaného je zrejmé, že sa konštante snaží o vymoženie predmetnej sumy, je podľa názoru žalobcu viac než dôvodné očakávať, že žalovaný podá návrh na začatie exekučného konania, ktorého výsledkom bude značná hospodárska a finančná škoda, keďže v danom prípade bude predmetom exekúcie značná finančná suma. 3. K návrhu žalobcu na priznanie odkladného účinku napadnutého rozhodnutia sa žalovaný bližšie vyjadril vo svojom podaní zo dňa 20.11.2018. V tomto uviedol, že žiadosť žalobcu o priznanie odkladného účinku žalobe nemá skutkový ani právny základ. Rozporoval najmä nepreukázané tvrdenia žalobcu o hroziacej značnej škode, ak nebude žalobe priznaný odkladný účinok. Poukázal na fakt, že voči žalobcovi nie je doposiaľ na základe napadnutého rozhodnutia vedené exekučné konanie. V ďalšom poukázal na fakt, že žalobcovi nevznikne závažná ujma aj v prípade dobrovoľnej úhrady, resp. exekučného vymoženia danej pohľadávky. Žalobca je stredným, resp. veľkým podnikom, ktorý podľa ostatnej účtovnej uzávierky mal celkové výnosy z hospodárskej činnosti vo výške 2.266.340 eur, majetok mal v hodnote 5.262.343 eur a čistý zisk po zdanení dosiahol v hodnote 90.180 eur. Teda úhrada čiastky určenej prvostupňovým rozhodnutím nemôže predstavovať vzhľadom na veľkosť podniku žalobcu závažnú ujmu znamenajúcu nenapraviteľný následok pre žalobcu. Záverom poukázal taktiež na skutočnosť, že žalobca vo svojom podaní neodôvodnil a nepreukázal, či by priznanie odkladného účinku nebolo v rozpore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závažná ujma by mu mohla byť spôsobená. Potreba dočasnej úpravy právnych pomerov musí tiež vyplývať aj z právneho stavu vytvoreného napadnutým rozhodnutím. Žalobcove argumenty ohľadom hrozby finančnej ujmy/škody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Žalobca zároveň opomenul preukázať, že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https://www.kauzis.sk/judikatura/r/ECLI:SK:KSBA:2018:1018200949.1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