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Trenčín sp. zn. 16Cob/82/2016 z 21. 11. 2016</w:t>
      </w:r>
    </w:p>
    <w:p>
      <w:r>
        <w:t>Rozsudok Krajského súdu Trenčín z 21. novembra 2016, sp. zn. 16Cob/82/2016, ECLI:SK:KSTN:2016:3213201554.4</w:t>
      </w:r>
    </w:p>
    <w:p>
      <w:r>
        <w:t>Súd: Krajský súd Trenčín</w:t>
      </w:r>
    </w:p>
    <w:p>
      <w:r>
        <w:t>Spisová značka: 16Cob/82/2016</w:t>
      </w:r>
    </w:p>
    <w:p>
      <w:r>
        <w:t>ECLI: ECLI:SK:KSTN:2016:3213201554.4</w:t>
      </w:r>
    </w:p>
    <w:p>
      <w:r>
        <w:t>Dátum vydania: 21. 11. 2016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142104</w:t>
      </w:r>
    </w:p>
    <w:p/>
    <w:p>
      <w:r>
        <w:t>Zdroj: KAUZIS.SK – https://www.kauzis.sk/judikatura/r/ECLI:SK:KSTN:2016:3213201554.4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