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B5-4Em/3/2021 z 28. 10. 2024</w:t>
      </w:r>
    </w:p>
    <w:p>
      <w:r>
        <w:t>Uznesenie Mestského súdu Bratislava II z 28. októbra 2024, sp. zn. B5-4Em/3/2021, ECLI:SK:MSBA2:2024:1521201718.6</w:t>
      </w:r>
    </w:p>
    <w:p>
      <w:r>
        <w:t>Súd: Mestský súd Bratislava II</w:t>
      </w:r>
    </w:p>
    <w:p>
      <w:r>
        <w:t>Spisová značka: B5-4Em/3/2021</w:t>
      </w:r>
    </w:p>
    <w:p>
      <w:r>
        <w:t>ECLI: ECLI:SK:MSBA2:2024:1521201718.6</w:t>
      </w:r>
    </w:p>
    <w:p>
      <w:r>
        <w:t>Dátum vydania: 28. 10.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B5-4Em/3/2021 1521201718 28. 10. 2024 JUDr. Michaela Pacherová, PhD. ECLI:SK:MSBA2:2024:1521201718.6</w:t>
      </w:r>
    </w:p>
    <w:p>
      <w:r>
        <w:t>Uznesenie Mestský súd Bratislava II vo veci oprávneného - otca: X.. W. Q., R.. XX.XX.XXXX, T. D. Š. X, D., zastúpený: JUDr. Eva Hrinková, advokátka, so sídlom Hečkova ul. č. 18, Bratislava proti povinnej matke: X.. A. F., R.. XX.XX.XXXX, T. D. N. X, D., prechodný pobyt N. X, T. R., zastúpená: JUDr. Lucia Danišovičová, advokátka, so sídlom Drieňová 1/D, Bratislava, o výkon rozhodnutia o úprave styku otca s maloletým dieťaťom: A. F., R.. XX.XX.XXXX, zastúpené kolíznym opatrovníkom Úradom práce, sociálnych vecí a rodiny Bratislava, so sídlom Vazovova 7/A, Bratislava, takto rozhodol: I. Súd konanie z a s t a v u j e. II. Žiaden z účastníkov nemá nárok na náhradu trov konania. odôvodnenie: 1. Návrhom, doručeným Okresnému súdu Bratislava V dňa 01.04.2021, sa oprávnený, otec maloletého dieťaťa domáhal výkonu rozhodnutia - rozsudku Okresného súdu Bratislava V č.k. 24C/465/2015-800 zo dňa 09.12.2019 v spojení s rozsudkom Krajského súdu v Bratislave č.k. 7Co/124/2020-1007 zo dňa 24.02.2021. 2. Podaním, doručeným Mestskému súdu Bratislava II dňa 17.10.2024, vzal oprávnený návrh v celom rozsahu späť a žiadal konanie zastaviť. Ako dôvod oprávnený uviedol, že vzhľadom na prekážky, ktoré povinná - matka kladie, sa s maloletým nekontaktuje a k jeho styku s maloletým nedochádza takmer dva roky. 3. Podľa § 373 zákona č. 161/2015 Z.z. Civilného mimosporového poriadku (ďalej len „CMP“), na konanie o výkone rozhodnutia sa použijú ustanovenia prvej časti a piateho dielu prvej hlavy druhej časti, ak nie je ustanovené inak. 4. Podľa § 29 ods. 1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 7. Podľa § 2 ods. 1 CMP, na konania podľa tohto zákona sa použijú ustanovenia Civilného sporového poriadku, ak tento zákon neustanovuje inak. 8. Podľa § 146 ods. zákona č. 160/2015 Z.z. Civilného sporového poriadku (ďalej len „CSP“), súd konanie nezastaví, ak žalovaný so späťvzatím žaloby z vážnych dôvodov nesúhlasí. Na nesúhlas</w:t>
      </w:r>
    </w:p>
    <w:p>
      <w:r>
        <w:t>žalovaného so späťvzatím žaloby sa neprihliada, ak dôjde k späťvzatiu žaloby skôr, než sa začalo predbežné prejednanie sporu podľa § 168 alebo pojednávanie. 9. V zmysle vyššie citovaných zákonných ustanovení navrhovateľ ma právo s podaným návrhom disponovať, teda CMP mu priznáva právo späťvzatia podaného návrhu, a to v jeho celistvosti alebo v časti. Späťvzatie návrhu je procesný úkon, z obsahu ktorého vyplýva vôľa navrhovateľa, aby súd vo veci nekonal a meritórne nerozhodol. 9. Navrhovateľ využil svoje dispozičné právo a svoj návrh na začatie konania vzal v celom rozsahu späť skôr, než sa začalo pojednávanie vo veci. 10. O nároku na náhradu trov konania rozhodol súd v súlade s § 391 v spojení s § 52 CMP, v zmysle ktorého žiaden z účastníkov nemá nárok na náhradu trov konania, ak tento zákon neustanovuje inak. Poučenie: Proti uzneseniu je prípustné odvolanie v lehote 15 dní od doručenia uznesenia na súde, proti ktorého uzneseniu smeruje. Odvolanie môže podať strana (účastník poľa CMP),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Podľa § 365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CMP, odvolanie možno odôvodniť aj tým, že súd prvej inštancie nesprávne alebo neúplne zistil skutočný stav veci. Odvolacie dôvody možno meniť a dopĺňať až do rozhodnutia o odvolaní.</w:t>
      </w:r>
    </w:p>
    <w:p/>
    <w:p>
      <w:r>
        <w:t>Zdroj: KAUZIS.SK – https://www.kauzis.sk/judikatura/r/ECLI:SK:MSBA2:2024:1521201718.6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