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28P/17/2025 z 18. 3. 2025</w:t>
      </w:r>
    </w:p>
    <w:p>
      <w:r>
        <w:t>Rozsudok Mestského súdu Bratislava II z 18. marca 2025, sp. zn. 28P/17/2025, ECLI:SK:MSBA2:2025:1225200428.2</w:t>
      </w:r>
    </w:p>
    <w:p>
      <w:r>
        <w:t>Súd: Mestský súd Bratislava II</w:t>
      </w:r>
    </w:p>
    <w:p>
      <w:r>
        <w:t>Spisová značka: 28P/17/2025</w:t>
      </w:r>
    </w:p>
    <w:p>
      <w:r>
        <w:t>ECLI: ECLI:SK:MSBA2:2025:1225200428.2</w:t>
      </w:r>
    </w:p>
    <w:p>
      <w:r>
        <w:t>Dátum vydania: 18. 3.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28P/17/2025 1225200428 18. 03. 2025 JUDr. Katarína Gašparová ECLI:SK:MSBA2:2025:1225200428.2</w:t>
      </w:r>
    </w:p>
    <w:p>
      <w:r>
        <w:t>ROZSUDOK V MENE SLOVENSKEJ REPUBLIKY Mestský súd Bratislava II v konaní pred sudkyňou JUDr. Katarínou Gašparovou v právnej veci manžela: D.. Š. H., nar. XX.XX.XXXX, trvale bytom Na L.Ž. XX/D, R., proti manželke: G.. K. H., rod. V., nar. XX.XX.XXXX, trvale bytom Na L. XX/D, R., o rozvod manželstva a úpravu výkonu rodičovských práv a povinností na čas po rozvode manželstva k maloletému dieťaťu: H. H., nar. XX.XX.XXXX, zastúpený opatrovníkom Úradom práce, sociálnych vecí a rodiny Bratislava, Vazovova 7/A, Bratislava, takto rozhodol: I. Súd manželstvo účastníkov D.. Š. H., nar. XX.XX.XXXX a G.. K. H. rod. V., nar. XX.XX.XXXX, uzavreté dňa XX.XX.XXXX v I. R., G., zapísané v knihe manželstiev matričného úradu MV SR - osobitná matrika, vo zväzku O., ročník XXXX, na strane XXX, pod poradovým číslom XXX rozvádza. II. Súd schvaľuje rodičovskú dohodu v nasledovnom znení: Maloletý H. H., nar. XX.XX.XXXX sa na čas po rozvode manželstva rodičov zveruje do spoločnej starostlivosti obidvoch rodičov. Právo zastupovať a spravovať majetok maloletého majú obidvaja rodičia. Počas trvania spoločnej osobnej starostlivosti sa výživné neurčuje. III. Žiaden z účastníkov nemá nárok na náhradu trov konania. odôvodnenie: Podľa ustanovenia § 221 písm. a) Civilného sporového poriadku, v spojení s ustanovením § 2 ods. 1 Civilného mimosporového poriadku, písomné vyhotovenie tohto rozsudku neobsahuje odôvodnenie. Poučenie: Proti tomuto rozsudku odvolanie nie je prípustné, pretože účastníci konania sa tohto práva po vyhlásení rozsudku vzdali písomne do zápisnice o pojednávaní. ( § 368 CSP) Proti tomuto rozsudku v časti výroku o schválení dohody rodičov nie sú rodičia oprávnení podať odvolanie. ( § 122 CMP) Ak povinný dobrovoľne nesplní, čo mu ukladá vykonateľný exekučný titul, oprávnený môže podať návrh na vykonanie exekúcie podľa osobitného zákona. Ak ide o rozhodnutie, ktorým bola upravená</w:t>
      </w:r>
    </w:p>
    <w:p>
      <w:r>
        <w:t>starostlivosť o maloletého, styk s maloletým alebo iná ako peňažná povinnosť vo vzťahu k maloletému, môže oprávnený podať návrh na nariadenie výkonu rozhodnutia. Manžel, ktorý pri uzavretí manželstva prijal priezvisko druhého manžela ako spoločné priezvisko, môže do troch mesiacov po právoplatnosti rozhodnutia o rozvode manželstva matričnému úradu oznámiť, že prijíma opäť svoje predošlé priezvisko. (§ 27 ods. 1 Zákona o rodine)</w:t>
      </w:r>
    </w:p>
    <w:p/>
    <w:p>
      <w:r>
        <w:t>Zdroj: KAUZIS.SK – https://www.kauzis.sk/judikatura/r/ECLI:SK:MSBA2:2025:1225200428.2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