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73P/46/2025 z 2. 6. 2025</w:t>
      </w:r>
    </w:p>
    <w:p>
      <w:r>
        <w:t>Rozsudok Mestského súdu Bratislava II z 2. júna 2025, sp. zn. 73P/46/2025, ECLI:SK:MSBA2:2025:1225201112.2</w:t>
      </w:r>
    </w:p>
    <w:p>
      <w:r>
        <w:t>Súd: Mestský súd Bratislava II</w:t>
      </w:r>
    </w:p>
    <w:p>
      <w:r>
        <w:t>Spisová značka: 73P/46/2025</w:t>
      </w:r>
    </w:p>
    <w:p>
      <w:r>
        <w:t>ECLI: ECLI:SK:MSBA2:2025:1225201112.2</w:t>
      </w:r>
    </w:p>
    <w:p>
      <w:r>
        <w:t>Dátum vydania: 2. 6. 2025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73P/46/2025 1225201112 02. 06. 2025 JUDr. Emília Habartová ECLI:SK:MSBA2:2025:1225201112.2</w:t>
      </w:r>
    </w:p>
    <w:p>
      <w:r>
        <w:t>ROZSUDOK V MENE SLOVENSKEJ REPUBLIKY Mestský súd Bratislava II, v konaní pred sudkyňou JUDr. Emíliou Habartovou, v právnej veci účastníkov konania: manžel - D. G., nar. XX.XX.XXXX, trvale bytom F. XXXX/XX, T., t. č. bytom S. D. XXX/XX, H., zast.: JUDr. Ivana Magdolenová Joríková, advokátka, so sídlom Hrnčírikova 1/B, Partizánske, manželka: D. G., nar. XX.XX.XXXX, trvale bytom T. XXXX/X, T., toho času F. XXXX/XX, T., zast.: Advokátska kancelária DANUVIUS s.r.o., so sídlom Mostová 2, Bratislava, o návrhu manžela na rozvod manželstva a úpravu výkonu rodičovských práv a povinností na čas po rozvode manželstva k maloletým deťom: R. G., nar. XX.XX.XXXX a E. G., nar. XX.XX.XXXX, zastúpené kolíznym opatrovníkom: Úrad práce, sociálnych vecí a rodiny Bratislava, so sídlom Vazovova 7/A, Bratislava, takto rozhodol: I. Súd manželstvo D. G., nar. XX.XX.XXXX a D. G., rod. E., nar. XX.XX.XXXX, uzavreté dňa XX.XX.XXXX v J., zapísané v knihe manželstiev matričného úradu J., vo zväzku X, ročník XXXX, na strane XXX, pod poradovým číslom XX, rozvádza. II. Súd schvaľuje rodičovskú dohodu v nasledujúcom znení: Maloleté deti R. G., nar. XX.XX.XXXX a E. G., nar. XX.XX.XXXX, sa zverujú do osobnej starostlivosti matky. Zastupovať maloleté deti a spravovať ich majetok budú obaja rodičia. Otec sa zaväzuje prispievať na výživu maloletých detí sumou vo výške 600,- eur mesačne na každé maloleté dieťa, vždy do 15. dňa v mesiaci vopred k rukám matky, počnúc právoplatnosťou výroku rozsudku o rozvode manželstva. Styk otca s maloletými deťmi sa na žiadosť rodičov neupravuje. III.</w:t>
      </w:r>
    </w:p>
    <w:p>
      <w:r>
        <w:t>Žiaden z účastníkov nemá nárok na náhradu trov konania. odôvodnenie:</w:t>
      </w:r>
    </w:p>
    <w:p>
      <w:r>
        <w:t>Podľa § 221 písm. a) Civilného sporového poriadku, v spojení s § 2 ods. 1 Civilného mimosporového poriadku, písomné vyhotovenie tohto rozsudku neobsahuje odôvodnenie. Poučenie: Proti tomuto rozsudku odvolanie nie je prípustné, pretože účastníci konania sa tohto práva po vyhlásení rozsudku vzdali písomne do zápisnice o pojednávaní. (§ 368 CSP)</w:t>
      </w:r>
    </w:p>
    <w:p>
      <w:r>
        <w:t>Manžel, ktorý pri uzavretí manželstva prijal priezvisko druhého manžela ako spoločné priezvisko, môže do troch mesiacov po právoplatnosti rozhodnutia o rozvode manželstva matričnému úradu oznámiť, že prijíma opäť svoje predošlé priezvisko (§ 27 ods. 1 zákona o rodine) Ak povinný dobrovoľne nesplní to, čo mu ukladá exekučný titul, oprávnený môže podať návrh na vykonanie exekúcie podľa osobitného zákona a požadovať splnenie nároku z exekučného titulu. Ak ide o rozhodnutie, ktorým bola upravená starostlivosť o maloletého, styk s maloletým alebo iná ako peňažná povinnosť vo vzťahu k maloletému, oprávnený môže podať návrh na súdny výkon rozhodnutia.</w:t>
      </w:r>
    </w:p>
    <w:p/>
    <w:p>
      <w:r>
        <w:t>Zdroj: KAUZIS.SK – https://www.kauzis.sk/judikatura/r/ECLI:SK:MSBA2:2025:1225201112.2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