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III sp. zn. 26Exre/525/2026 z 31. 7. 2026</w:t>
      </w:r>
    </w:p>
    <w:p>
      <w:r>
        <w:t>Uznesenie Mestského súdu Bratislava III z 31. júla 2026, sp. zn. 26Exre/525/2026, ECLI:SK:MSBA3:2026:1326204591.1</w:t>
      </w:r>
    </w:p>
    <w:p>
      <w:r>
        <w:t>Súd: Mestský súd Bratislava III</w:t>
      </w:r>
    </w:p>
    <w:p>
      <w:r>
        <w:t>Spisová značka: 26Exre/525/2026</w:t>
      </w:r>
    </w:p>
    <w:p>
      <w:r>
        <w:t>ECLI: ECLI:SK:MSBA3:2026:1326204591.1</w:t>
      </w:r>
    </w:p>
    <w:p>
      <w:r>
        <w:t>Dátum vydania: 31. 7. 2026</w:t>
      </w:r>
    </w:p>
    <w:p>
      <w:r>
        <w:t>Forma: Uznesenie</w:t>
      </w:r>
    </w:p>
    <w:p>
      <w:r>
        <w:t>Oblasť práva: Obchodné právo</w:t>
      </w:r>
    </w:p>
    <w:p>
      <w:pPr>
        <w:pStyle w:val="Heading2"/>
      </w:pPr>
      <w:r>
        <w:t>Text rozhodnutia</w:t>
      </w:r>
    </w:p>
    <w:p>
      <w:r>
        <w:t>Súd: Spisová značka: Identifikačné číslo súdneho spisu: Dátum vydania rozhodnutia: Meno a priezvisko sudcu, VSÚ: ECLI:</w:t>
      </w:r>
    </w:p>
    <w:p>
      <w:r>
        <w:t>Mestský súd Bratislava III 26Exre/525/2026 1326204591 31. 07. 2026 JUDr. Patrik Števík ECLI:SK:MSBA3:2026:1326204591.1</w:t>
      </w:r>
    </w:p>
    <w:p>
      <w:r>
        <w:t>Uznesenie Mestský súd Bratislava III vo veci dosiahnutia zhody zápisu v obchodnom registri so skutočným stavom pri zapísanej osobe: energIQube, s.r.o., Iskerníková 3673/7, Bratislava - mestská časť Karlova Ves 841 05, IČO: 46912916, o vykonaní opravy zápisu takto rozhodol: I. Súd začína konanie o dosiahnutie zhody zápisu v obchodnom registri so skutočným stavom pri obchodnej spoločnosti: energIQube, s.r.o., Iskerníková 3673/7, Bratislava - mestská časť Karlova Ves 841 05, IČO: 46912916. II. Pri uvedenej obchodnej spoločnosti súd vymazáva z obchodného registra v časti VI. Predmet podnikania (činnosti): Konzultačná a poradenská činnosť v oblasti energetiky Konzultačná a poradenská činnosť v oblasti informačných technológií Počítačové služby a služby súvisiace s počítačovým spracovaním údajov Vykonávanie mimoškolskej vzdelávacej činnosti Výskum a vývoj v oblasti prírodných, technických, spoločenských a humanitných vied Vydavateľská činnosť, polygrafická výroba a knihárske práce odôvodnenie: 1. Na základe podnetu MS SR zo dňa 08.05.2026 súd zistil, že pri predmetnej spoločnosti došlo k viacnásobnému zápisu tých istých predmetov podnikania (činností). 2. Podľa § 294 ods. 1 Civilného mimosporového poriadku (CMP) návrh na začatie konania alebo uznesenie o začatí konania doručí registrový súd účastníkom a vyzve ich, aby sa vyjadrili, či s vykonaním zápisu údajov do obchodného registra súhlasia, alebo aby uviedli skutkové tvrdenia alebo právne dôvody, ktoré bránia vykonaniu zápisu. Podľa § 294 ods. 2 CMP registrový súd nepostupuje podľa ods. 1, ak je predmetom konania oprava chýb v písaní a počítaní alebo iných zrejmých nesprávností. 3. Súd konštatuje, že došlo k zrejmej nesprávnosti pri zápise zmien údajov do obchodného registra, a preto pred rozhodnutím vo veci nedoručoval uznesenie o začatí konania účastníkom konania a nevyzval ich, aby sa vyjadrili, či s vykonaním zápisu údajov do obchodného registra súhlasia, alebo aby uviedli skutkové tvrdenia alebo právne dôvody, ktoré bránia vykonaniu zápisu. 4. Vzhľadom k tomu, že je potrebné dosiahnuť zhodu zápisu v obchodnom registri so skutočným stavom pri zapísanej osobe, súd na rozhodol tak, ako je uvedené vo výrokovej časti tohto uznesenia. Poučenie: Proti výroku I. tohto uznesenia odvolanie nie je prípustné. Proti výroku II. tohto uznesenia je odvolanie prípustné do 15 dní odo dňa doručenia uznesenia, na Mestskom súde Bratislava III. V odvolaní sa popri všeobecných náležitostiach, akými sú: ktorému súdu je určené, kto ho robí, ktorej veci sa týka, čo sa ním sleduje, podpis, a ak ide o podanie urobené v prebiehajúcom konaní, náležitosťou</w:t>
      </w:r>
    </w:p>
    <w:p>
      <w:r>
        <w:t>podania je aj uvedenie spisovej značky tohto konania,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w:t>
      </w:r>
    </w:p>
    <w:p/>
    <w:p>
      <w:r>
        <w:t>Zdroj: KAUZIS.SK – https://www.kauzis.sk/judikatura/r/ECLI:SK:MSBA3:2026:1326204591.1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