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Galanta sp. zn. 5P/3/2025 z 4. 3. 2025</w:t>
      </w:r>
    </w:p>
    <w:p>
      <w:r>
        <w:t>Rozsudok Okresného súdu Galanta z 4. marca 2025, sp. zn. 5P/3/2025, ECLI:SK:OSGA:2025:2325200090.3</w:t>
      </w:r>
    </w:p>
    <w:p>
      <w:r>
        <w:t>Súd: Okresný súd Galanta</w:t>
      </w:r>
    </w:p>
    <w:p>
      <w:r>
        <w:t>Spisová značka: 5P/3/2025</w:t>
      </w:r>
    </w:p>
    <w:p>
      <w:r>
        <w:t>ECLI: ECLI:SK:OSGA:2025:2325200090.3</w:t>
      </w:r>
    </w:p>
    <w:p>
      <w:r>
        <w:t>Dátum vydania: 4. 3. 2025</w:t>
      </w:r>
    </w:p>
    <w:p>
      <w:r>
        <w:t>Forma: Rozsudok</w:t>
      </w:r>
    </w:p>
    <w:p>
      <w:r>
        <w:t>Oblasť práva: Rodinné právo, Rodinné právo,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Galanta 5P/3/2025 2325200090 04. 03. 2025 Mgr. Ondrej Hertel ECLI:SK:OSGA:2025:2325200090.3</w:t>
      </w:r>
    </w:p>
    <w:p>
      <w:r>
        <w:t>ROZSUDOK V MENE SLOVENSKEJ REPUBLIKY Okresný súd Galanta v konaní pred sudcom Mgr. Ondrejom Hertelom v právnej veci navrhovateľa – manžela: A. B. C., nar. XX.X.XXXX, trvale bytom D. E. F. XXX, zastúpený: Čibrik &amp; Blazsek advokátska kancelária s.r.o., so sídlom Hlavná 14, Šaľa, IČO: 46255010, a manželky navrhovateľa: G. H. C. I., nar. XX.X.XXXX, trvale bytom D. E. F. XXX, o návrhu na rozvod manželstva a úpravu práv a povinností rodičov na čas po rozvode manželstva k maloletému dieťaťu: I. C., nar. XX.X.XXXX, trvale bytom ako rodičia, v konaní zastúpené kolíznym opatrovníkom Úradom práce, sociálnych vecí a rodiny Nové Zámky, takto rozhodol: I. Manželstvo navrhovateľa A. B. C., nar. XX.X.XXXX a manželky navrhovateľa G. H. C. I., nar. XX.X.XXXX, uzavreté dňa X.X.XXXX, zapísané v knihe manželstiev matričného úradu C. J., zväzok XX, ročník XXXX, strana XXX, por. č. XX, rozvádza. II. Schvaľuje dohodu rodičov o úprave práv a povinností k maloletému dieťaťu na čas po rozvode nasledovného znenia: Maloleté dieťa sa na čas po rozvode zveruje do osobnej starostlivosti matky s tým, že obaja rodičia majú právo maloleté dieťa zastupovať a spravovať jeho majetok. Otec sa zaväzuje prispievať na výživu maloletého dieťaťa sumou 500,- Eur mesačne, kde výživné je splatné vždy do 10-teho dňa toho ktorého mesiaca vopred k rukám matky maloletého dieťaťa. Styk otca s maloletým dieťaťom sa neupravuje. III. Žiaden z účastníkov nemá nárok na náhradu trov konania. odôvodnenie: 1. V zmysle § 221 písm. a) CSP: Písomné vyhotovenie rozsudku nemusí obsahovať odôvodnenie, ak je na pojednávaní vyhlásený rozsudok za prítomnosti všetkých strán alebo ich zástupcov, ktorí sa vzdajú odvolania. Poučenie: Proti výroku rozsudku, ktorým bola schválená dohoda rodičov, v súlade s ustanovením § 355 ods. 1 CSP v spojení s ustanovením § 122 CMP rodičia nie sú oprávnení podať odvolanie. Inak proti tomuto rozhodnutiu je možné podať odvolanie na Okresnom súde Galanta v lehote do 15 dní odo dňa jeho doručenia, pokiaľ sa po vyhlásení rozhodnutia oprávnená osoba nevzdala odvolania.</w:t>
      </w:r>
    </w:p>
    <w:p>
      <w:r>
        <w:t>V odvolaní sa popri všeobecných náležitostiach podania ako ktorému súdu je určené, kto ho robí, ktorej veci sa týka, čo sa ním sleduje, podpis, v prebiehajúcom konaní spisová značka tohto konania, uvedie aj to, proti ktorému rozhodnutiu smeruje, v akom rozsahu sa napáda, z akých dôvodov sa rozhodnutie považuje za nesprávne (odvolacie dôvody) a čoho sa odvolateľ domáha (odvolací návrh). V prípade, že povinný dobrovoľne neplní čo mu ukladá vykonateľné rozhodnutie, môže oprávnený podať návrh na vykonanie exekúcie podľa zákona č. 233/1995 Z.z., a v prípade, že ide o rozhodnutie o starostlivosť o maloletého, styk s maloletým alebo iná ako peňažná povinnosť vo vzťahu k maloletému návrh na súdny výkon rozhodnutia podľa štvrtej časti CMP. Manžel, ktorý pri uzavretí manželstva prijal priezvisko druhého manžela ako spoločné priezvisko, môže do troch mesiacov po právoplatnosti rozhodnutia o rozvode manželstva matričnému úradu oznámiť, že prijíma opäť svoje predošlé priezvisko.</w:t>
      </w:r>
    </w:p>
    <w:p/>
    <w:p>
      <w:r>
        <w:t>Zdroj: KAUZIS.SK – https://www.kauzis.sk/judikatura/r/ECLI:SK:OSGA:2025:2325200090.3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