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bez odôvodnenia Okresného súdu Galanta sp. zn. 12P/62/2026 z 2. 6. 2026</w:t>
      </w:r>
    </w:p>
    <w:p>
      <w:r>
        <w:t>Rozsudok bez odôvodnenia Okresného súdu Galanta z 2. júna 2026, sp. zn. 12P/62/2026, ECLI:SK:OSGA:2026:2326201167.2</w:t>
      </w:r>
    </w:p>
    <w:p>
      <w:r>
        <w:t>Súd: Okresný súd Galanta</w:t>
      </w:r>
    </w:p>
    <w:p>
      <w:r>
        <w:t>Spisová značka: 12P/62/2026</w:t>
      </w:r>
    </w:p>
    <w:p>
      <w:r>
        <w:t>ECLI: ECLI:SK:OSGA:2026:2326201167.2</w:t>
      </w:r>
    </w:p>
    <w:p>
      <w:r>
        <w:t>Dátum vydania: 2. 6. 2026</w:t>
      </w:r>
    </w:p>
    <w:p>
      <w:r>
        <w:t>Forma: Rozsudok bez odôvodnenia</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Galanta 12P/62/2026 2326201167 02. 06. 2026 JUDr. Myrtill Vojteková ECLI:SK:OSGA:2026:2326201167.2</w:t>
      </w:r>
    </w:p>
    <w:p>
      <w:r>
        <w:t>Rozsudok bez odôvodnenia Okresný súd Galanta v konaní vedenom pred sudkyňou JUDr. Myrtill Vojtekovou, v právnej veci navrhovateľky: A. B., C. D., nar. XX.XX.XXXX, trvale bytom E. XXXX/XX, F. a manžela navrhovateľky: A. B., nar. XX.XX.XXXX, trvale bytom G. XXX, o návrhu na rozvod manželstva a úpravu výkonu práv a povinností rodičov na čas po rozvode manželstva k maloletým deťom B.: H., nar. XX.XX.XXXX a I., nar. XX.XX.XXXX, obe bytom ako matka, v konaní zastúpené kolíznym opatrovníkom Úradom práce, sociálnych vecí a rodiny Galanta, takto rozhodol: I. Manželstvo účastníkov konania uzatvorené dňa XX.XX.XXXX v G., zapísané v knihe manželstiev matričného úradu J., vo zväzku K., ročník XXXX, strana XXX por. č. X, sa rozvádza. II. Schvaľuje sa rodičovská dohoda nasledovného znenia: Maloleté deti sa na čas po rozvode zverujú do osobnej starostlivosti matky s tým, že obaja rodičia majú právo maloleté deti zastupovať a spravovať ich majetok. Otec sa zaväzuje prispievať na výživu maloletého H. sumou 220,- Eur mesačne a na maloletého I. sumou 200,- Eur mesačne, kde výživné je splatné vždy do 15-teho dňa toho ktorého mesiaca vopred k rukám matky maloletého dieťaťa. Styk otca s maloletými deťmi sa neupravuje. III. Žiaden z účastníkov nemá nárok na náhradu trov konania. Poučenie: Proti výroku rozsudku, ktorým bola schválená dohoda rodičov, v súlade s ustanovením § 355 ods. 1 Civilného sporového poriadku (ďalej len „CSP“) v spojení s ustanovením § 122 Civilného mimosporového poriadku (ďalej len „CMP“) rodičia nie sú oprávnení podať odvolanie. Inak proti rozsudku nemožno podať odvolanie, nakoľko sa tohto svojho práva účastníci konania v súlade s ustanovením § 368 CSP po vyhlásení rozhodnutia pred súdom účinne vzdali. Manžel, ktorý prijal priezvisko druhého manžela, môže do 3 mesiacov po právoplatnosti rozhodnutia o rozvode oznámiť úradu, poverenému viesť matriky, že prijíma opäť svoje predchádzajúce priezvisko. Písomné vyhotovenie rozhodnutia v zmysle § 221 písm. a) CSP nemusí obsahovať odôvodnenie, ak je na pojednávaní vyhlásený rozsudok za prítomnosti všetkých strán alebo ich zástupcov, ktorí sa vzdajú odvolania. Ak povinný dobrovoľne nesplní, čo mu ukladá vykonateľné rozhodnutie, oprávnený môže podať návrh na vykonanie exekúcie podľa zákona č. 233/1995 Z. z. o exekútoroch a exekučnej činnosti v platnom znení.</w:t>
      </w:r>
    </w:p>
    <w:p>
      <w:r>
        <w:t>Návrh na vykonanie exekúcie sa podáva na príslušný súd podľa (zák. č. 233/1995 Z. z.) elektronicky do elektronickej schránky súdu alebo ak oprávnený alebo jeho zástupca nemá aktivovanú elektronickú schránku, alebo mu v možnosti podať návrh elektronickými prostriedkami bránia iné dôvody, možno podať návrh na vykonanie exekúcie prostredníctvom ktoréhokoľvek exekútora (§ 48 zákona č. 233/1995 Z. z.). Podľa štvrtej časti CMP sa postupuje pri výkone rozhodnutia, ktorým bola upravená starostlivosť o maloletého, styk s maloletým alebo iná ako peňažná povinnosť vo vzťahu k maloletému. Podľa štvrtej časti CMP sa postupuje aj pri výkone rozhodnutia o návrat maloletého do cudziny pri neoprávnenom premiestnení alebo zadržaní. Podľa štvrtej časti CMP sa postupuje aj vtedy, ak z osobitného predpisu alebo z medzinárodnej zmluvy, ktorou je Slovenská republika viazaná, vyplýva vykonateľnosť dohody alebo verejnej listiny, ktorou bola upravená starostlivosť o maloletého, styk s maloletým alebo iná ako peňažná povinnosť vo vzťahu k maloletému.</w:t>
      </w:r>
    </w:p>
    <w:p/>
    <w:p>
      <w:r>
        <w:t>Zdroj: KAUZIS.SK – https://www.kauzis.sk/judikatura/r/ECLI:SK:OSGA:2026:2326201167.2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