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12P/41/2025 z 19. 5. 2025</w:t>
      </w:r>
    </w:p>
    <w:p>
      <w:r>
        <w:t>Rozsudok Okresného súdu Prievidza z 19. mája 2025, sp. zn. 12P/41/2025, ECLI:SK:OSPD:2025:3825201640.4</w:t>
      </w:r>
    </w:p>
    <w:p>
      <w:r>
        <w:t>Súd: Okresný súd Prievidza</w:t>
      </w:r>
    </w:p>
    <w:p>
      <w:r>
        <w:t>Spisová značka: 12P/41/2025</w:t>
      </w:r>
    </w:p>
    <w:p>
      <w:r>
        <w:t>ECLI: ECLI:SK:OSPD:2025:3825201640.4</w:t>
      </w:r>
    </w:p>
    <w:p>
      <w:r>
        <w:t>Dátum vydania: 19. 5.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12P/41/2025 3825201640 19. 05. 2025 JUDr. Róbert Matulák ECLI:SK:OSPD:2025:3825201640.4</w:t>
      </w:r>
    </w:p>
    <w:p>
      <w:r>
        <w:t>ROZSUDOK V MENE SLOVENSKEJ REPUBLIKY Okresný súd Prievidza sudcom JUDr. Róbertom Matulákom v právnej veci navrhovateľky: A. B., nar. XX.XX.XXXX, trvale bytom C. D. XXX, E., proti manželovi, ktorý návrh nepodal: F. B., nar. XX.X.XXXX, trvale bytom C. D. XXX, E., zast.: Mgr. Martin Hurtiš, advokát so sídlom Matice slovenskej 17, Prievidza, IČO: 50864611, o rozvod manželstva a úpravu práv a povinností rodičov k maloletému dieťaťu: F. B., nar. XX.X.XXXX, v konaní zastúpená kolíznym opatrovníkom: Úrad práce sociálnych vecí a rodiny Prievidza, takto rozhodol: I. Manželstvo A. B., G. H., narodenej XX.XX.XXXX a F. B., narodeného XX.X.XXXX, uzatvorené dňa XX.X.XXXX I. C., zapísané v knihe manželstiev matričného úradu C., vo zväzku XX, ročník XXXX, strana XXX, pod poradovým číslom XXX, r o z v á dz a. II. Na čas po rozvode manželstva schvaľuje uzavretú rodičovskú dohodu v tomto znení: Maloleté dieťa, F. B., nar. XX.X.XXXX, sa zveruje do striedavej osobnej starostlivosti oboch rodičov, A. B., nar. XX.XX.XXXX a F. B., nar. XX.X.XXXX, s tým, že matka maloletého dieťaťa a otec maloletého dieťaťa sa zaväzujú zabezpečovať osobnú starostlivosť o maloleté dieťa striedavo v týždňových intervaloch, a to tak, že matka bude zabezpečovať osobnú starostlivosť o maloletú v párnom kalendárnom týždni od piatka 15,30 hod. do piatka v nepárnom kalendárnom týždni do 15,30 hod. a otec bude zabezpečovať osobnú starostlivosť o maloletú v nepárnom kalendárnom týždni od piatka 15,30 hod. do piatka v párnom kalendárnom týždni do 15,30 hod., a to opakovane. Rodičia sa zaväzujú odovzdávať si maloleté dieťa v dohodnutom čase v mieste bydliska toho rodiča, ktorého výkon osobnej starostlivosti o maloleté dieťa práve začína a v prípade účasti maloletej na vyučovacom procese v predškolskom, resp. školskom zariadení si rodič, ktorému práve začína styk s maloletým dieťaťom dieťa v tomto zariadené prevezme. Vo veci práv a povinností rodičov sa určuje, že ten rodič, ktorý na základe tohto rozhodnutia súdu má práve stanovený styk s maloletým dieťaťom, nadobúda také práva a povinností ako keby mal dieťa v osobnej starostlivosti a rodič, ktorý práve nemá stanovený styk s dieťaťom, nadobúda také práva a povinností ako keby nemal dieťa v osobnej starostlivosti. Obaja rodičia sú oprávnení a povinní maloletú F. zastupovať a spravovať jej majetok v bežných veciach, každý samostatne. Maloletá F. bude mať trvalé bydlisko na adrese otca. Počas trvania striedavej osobnej starostlivosti rodičov o maloletú sa výživné neurčuje. Prídavok na dieťa na maloletú F. bude poberať matka a táto si bude uplatňovať aj daňový bonus na maloletú.</w:t>
      </w:r>
    </w:p>
    <w:p>
      <w:r>
        <w:t>III. Žiaden z účastníkov nemá nárok na náhradu trov konania. odôvodnenie: Toto rozhodnutie podľa § 221 písm. a/ Civilného sporového poriadku v spojení s ust. § 2 ods. 1 Civilného mimosporového poriadku odôvodnenie neobsahuje. Poučenie: Proti tomuto rozhodnutiu nie je možné podať odvolanie, pretože účastníci sa po vyhlásení rozhodnutia tohto práva výslovne vzdali, čo potvrdili svojimi podpismi v zápisnici o pojednávaní.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 Manžel, ktorý prijal priezvisko druhého manžela, môže do 3 mesiacov od právoplatnosti rozsudku o rozvode manželstva príslušnej matrike oznámiť, že opätovne prijíma späť svoje predošlé priezvisko.</w:t>
      </w:r>
    </w:p>
    <w:p/>
    <w:p>
      <w:r>
        <w:t>Zdroj: KAUZIS.SK – https://www.kauzis.sk/judikatura/r/ECLI:SK:OSPD:2025:3825201640.4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