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1Nt/35/2026 z 7. 10. 2026</w:t>
      </w:r>
    </w:p>
    <w:p>
      <w:r>
        <w:t>Uznesenie Okresného súdu Prievidza z 7. októbra 2026, sp. zn. 1Nt/35/2026, ECLI:SK:OSPD:2026:3826010675.2</w:t>
      </w:r>
    </w:p>
    <w:p>
      <w:r>
        <w:t>Súd: Okresný súd Prievidza</w:t>
      </w:r>
    </w:p>
    <w:p>
      <w:r>
        <w:t>Spisová značka: 1Nt/35/2026</w:t>
      </w:r>
    </w:p>
    <w:p>
      <w:r>
        <w:t>ECLI: ECLI:SK:OSPD:2026:3826010675.2</w:t>
      </w:r>
    </w:p>
    <w:p>
      <w:r>
        <w:t>Dátum vydania: 7. 10. 2026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1Nt/35/2026 3826010675 07. 10. 2026 Mgr. Vojtech Chmelan ECLI:SK:OSPD:2026:3826010675.2</w:t>
      </w:r>
    </w:p>
    <w:p>
      <w:r>
        <w:t>Uznesenie Okresný súd Prievidza samosudcom Mgr. Vojtechom Chmelanom na verejnom zasadnutí konanom dňa 07. októbra 2026 takto rozhodol: Podľa § 83 ods.1 písm. b) Trestného zákona súd ukladá zhabanie veci a to stolový počítač čiernej farby bez označenia a sériového čísla so sériovým označením na skrinke počítača „XXXXXXXXXXXXXXXXX“, ktorý sa nachádza v úschove u povereného príslušníka PZ, A. B. C. C., A. A. C., v kancelárii číslo XXX. Podľa § 83 ods.2 Trestného zákona vlastníkom zhabanej veci sa stáva štát. odôvodnenie: Podľa § 176 ods.3 Trestného poriadku toto rozhodnutie odôvodnenie Poučenie: Proti tomuto uzneseniu možno podať sťažnosť v lehote troch pracovných dní odo dňa jeho oznámenia cestou tunajšieho súdu ku Krajskému súdu v Trenčíne.</w:t>
      </w:r>
    </w:p>
    <w:p>
      <w:r>
        <w:t>neobsahuje.</w:t>
      </w:r>
    </w:p>
    <w:p/>
    <w:p>
      <w:r>
        <w:t>Zdroj: KAUZIS.SK – https://www.kauzis.sk/judikatura/r/ECLI:SK:OSPD:2026:3826010675.2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