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5P/19/2026 z 8. 9. 2026</w:t>
      </w:r>
    </w:p>
    <w:p>
      <w:r>
        <w:t>Rozsudok Okresného súdu Prievidza z 8. septembra 2026, sp. zn. 5P/19/2026, ECLI:SK:OSPD:2026:3826200737.6</w:t>
      </w:r>
    </w:p>
    <w:p>
      <w:r>
        <w:t>Súd: Okresný súd Prievidza</w:t>
      </w:r>
    </w:p>
    <w:p>
      <w:r>
        <w:t>Spisová značka: 5P/19/2026</w:t>
      </w:r>
    </w:p>
    <w:p>
      <w:r>
        <w:t>ECLI: ECLI:SK:OSPD:2026:3826200737.6</w:t>
      </w:r>
    </w:p>
    <w:p>
      <w:r>
        <w:t>Dátum vydania: 8. 9. 2026</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Prievidza 5P/19/2026 3826200737 08. 09. 2026 JUDr. Klaudia Šišková ECLI:SK:OSPD:2026:3826200737.6</w:t>
      </w:r>
    </w:p>
    <w:p>
      <w:r>
        <w:t>ROZSUDOK V MENE SLOVENSKEJ REPUBLIKY Okresný súd Prievidza sudkyňou JUDr. Klaudiou Šiškovou v právnej veci navrhovateľa: A. B. C., nar. XX.XX.XXXX, bytom D., D. XXX, zastúpeného Advokátska kancelária JUDr. Ľubica Lukáčová, s.r.o., so sídlom v Prievidzi, M. Hodžu 10/3, IČO: 47 251 816, proti manželke: E. F. C., nar. XX.X.XXXX, bytom B., G. H. XXX/XX, zastúpenej JUDr. Jánom Vinarčíkom, advokátom v Banskej Bystrici, Pod Rybou 5, IČO: 37 950 550, o rozvod manželstva a úpravu práv a povinností k malol. dieťaťu: D. C., nar. XX.X.XXXX, zastúpenej Úradom práce, sociálnych vecí a rodiny Prievidza - OSV ako kolíznym opatrovníkom, takto rozhodol: I. Súd manželstvo A. B. C. a E. F. C., I. J., uzavreté dňa XX.XX.XXXX v B., zapísané v Knihe manželstiev matričného úradu B., vo zväzku XX, ročník XXXX, na strane XX, pod poradovým číslom XXX, r ozvádza. II. Súd</w:t>
      </w:r>
    </w:p>
    <w:p>
      <w:r>
        <w:t>s c h v a ľ u j e uzavretú rodičovskú dohodu v nasledovnom znení:</w:t>
      </w:r>
    </w:p>
    <w:p>
      <w:r>
        <w:t>Malol. D. C., nar. XX.X.XXXX, sa zveruje na čas po rozvode manželstva do osobnej starostlivosti matky. Zastupovať v bežných veciach a spravovať majetok maloletej budú obaja rodičia, každý samostatne. Otec dieťaťa sa zaväzuje platiť výživné na malol. D. C., nar. XX.X.XXXX, v sume 600,- eur mesačne, z toho sumu 500,- eur sa zaväzuje otec prispievať vždy do posledného dňa predchádzajúceho mesiaca vopred, do rúk matky, počnúc právoplatnosťou rozsudku o rozvode manželstva a sumou 100,- eur mesačne sa zaväzuje otec prispievať na tvorbu úspor maloletej, vždy do posledného dňa v mesiaci vopred, na osobitný účet malol. dieťaťa, počnúc právoplatnosťou rozsudku o rozvode manželstva. Osobitný účet malol. dieťaťa sa v jeho prospech zaväzuje zriadiť matka dieťaťa v lehote 15 dní od právoplatnosti tohto rozsudku a v tej istej lehote sa zaväzuje oznámiť názov peňažného ústavu a číslo účtu otcovi maloletej, pričom na nakladanie s finančnými prostriedkami na účte maloletej je potrebný súhlas súdu. Otec dieťaťa je oprávnený stretávať sa s malol. D. každý párny kalendárny týždeň v utorok a štvrtok vždy od 12:00 hod. do 15:00 hod. za prítomnosti matky a každý nepárny kalendárny týždeň v utorok a sobotu vždy od 12:00 hod. do 15:00 hod. za prítomnosti matky s tým, že miesto prevzatia a odovzdania dieťaťa je bydlisko matky. Matka sa zaväzuje malol. dieťa na styk s otcom pripraviť a stretnutie otca s maloletou umožniť. III. Žiaden z účastníkov nemá nárok na náhradu trov konania. odôvodnenie: Podľa § 221 písm. a) Civilného sporového poriadku a § 2 ods. 1 Civilného mimosporového poriadku rozsudok odôvodnenie neobsahuje.</w:t>
      </w:r>
    </w:p>
    <w:p>
      <w:r>
        <w:t>Poučenie: Proti tomuto rozsudku odvolanie nemožno podať, pretože účastníci sa práva podať odvolanie voči rozsudku výslovne vzdali po vyhlásení rozhodnutia (§ 368 CSP) a v časti týkajúcej sa schválenia rodičovskej dohody rodičia nie sú oprávnení podať odvolanie (§ 122 CMP). Manžel, ktorý pri uzavretí manželstva prijal priezvisko druhého manžela, ako spoločné priezvisko, môže do troch mesiacov po právoplatnosti rozhodnutia o rozvode oznámiť príslušnému matričnému úradu, že prijíma opäť svoje predošlé priezvisko.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Civilného mimosporového poriadku.</w:t>
      </w:r>
    </w:p>
    <w:p/>
    <w:p>
      <w:r>
        <w:t>Zdroj: KAUZIS.SK – https://www.kauzis.sk/judikatura/r/ECLI:SK:OSPD:2026:3826200737.6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