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28P/19/2024 z 2. 10. 2024</w:t>
      </w:r>
    </w:p>
    <w:p>
      <w:r>
        <w:t>Rozsudok Okresného súdu Poprad z 2. októbra 2024, sp. zn. 28P/19/2024, ECLI:SK:OSPP:2024:8724202302.2</w:t>
      </w:r>
    </w:p>
    <w:p>
      <w:r>
        <w:t>Súd: Okresný súd Poprad</w:t>
      </w:r>
    </w:p>
    <w:p>
      <w:r>
        <w:t>Spisová značka: 28P/19/2024</w:t>
      </w:r>
    </w:p>
    <w:p>
      <w:r>
        <w:t>ECLI: ECLI:SK:OSPP:2024:8724202302.2</w:t>
      </w:r>
    </w:p>
    <w:p>
      <w:r>
        <w:t>Dátum vydania: 2. 10.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Poprad 28P/19/2024 8724202302 02. 10. 2024 JUDr. Zuzana Salajová ECLI:SK:OSPP:2024:8724202302.2</w:t>
      </w:r>
    </w:p>
    <w:p>
      <w:r>
        <w:t>ROZSUDOK V MENE SLOVENSKEJ REPUBLIKY Okresný súd Poprad, sudkyňou JUDr. Zuzanou Salajovou, v právnej veci navrhovateľky/manželky: A. B., C. B., nar. XX. XX. XXXX, proti manželovi: D. B., C. E., nar. XX. XX. XXXX, obaja trvale bytom F. G., H. I. XX/XX, o rozvod manželstva a úpravu rodičovských práv a povinností na čas po rozvode manželstva k mal. deťom: J. B., nar. XX. XX. XXXX, A. B., nar. XX. XX. XXXX a D. B., nar. XX. XX. XXXX, trvale bytom F. G., H. I. XX/XX, deti zastúpené kolíznym opatrovníkom: Úrad práce, soc. vecí a rodiny Poprad, takto rozhodol: I. Manželstvo navrhovateľky A. B., C. B., nar. XX. XX. XXXX a manžela D. B., C. E., nar. XX. XX. XXXX, uzavreté 20. 10. 2012 v Starom Smokovci, zapísané v knihe manželstiev matričného úradu Vysoké Tatry vo zväzku 15, ročník 2012, strana 277, poradové číslo 86, rozvádza. II. Z v e r u j e maloleté deti: J. B., nar. XX. XX. XXXX, A. B., nar. XX. XX. XXXX a D. B., nar. XX. XX. XXXX, do osobnej starostlivosti matky, s tým, že obaja rodičia sú oprávnení a povinní zastupovať maloleté deti v bežných veciach a spravovať ich majetok. III. Zaväzuje otca prispievať na výživu mal. dieťaťa: J. B., nar. XX. XX. XXXX, sumou 220 eur mesačne, na výživu mal. dieťaťa: A. B., nar. XX. XX. XXXX, sumou 200 eur mesačne a na výživu mal. dieťaťa: D. B., nar. XX. XX. XXXX, sumou 180 eur mesačne, počnúc dňom právoplatnosti tohto rozsudku, ktoré je otec povinný platiť matke vždy do 20. dňa v mesiaci vopred. IV. Styk otca s mal. deťmi neupravuje. V. Žiaden z účastníkov nemá nárok na náhradu trov konania. odôvodnenie: 1. Navrhovateľka/manželka podala 31. 05. 2024 na tunajší súd návrh na rozvod manželstva a úpravu rodičovských práv a povinností k maloletým deťom na čas po rozvode. Na pojednávaní konanom 02. 10. 2024 sa po vyhlásení rozhodnutia všetci účastníci prítomní na pojednávaní súčasne vzdali práva podať odvolanie proti predmetnému rozhodnutiu, čo potvrdili svojím podpisom na samostatnej listine, ktorá tvorí súčasť zápisnice. 2. Podľa § 2 zákona č. 161/2015 Z. z. Civilného mimosporového poriadku v znení neskorších predpisov (ďalej CMP), na konania podľa tohto zákona sa použijú ustanovenia Civilného sporového poriadku, ak tento zákon neustanovuje inak. Na účely tohto zákona sa pojmy žaloba, strana a spor vykladajú ako návrh na začatie konania, účastník konania (ďalej účastník) a konanie podľa tohto zákona, ak z povahy veci nevyplýva inak.</w:t>
      </w:r>
    </w:p>
    <w:p>
      <w:r>
        <w:t>3. Podľa § 221 písm. a) zákona č. 160/2015 Z. z. Civilného sporového poriadku v znení neskorších predpisov (ďalej CSP), písomné vyhotovenie rozsudku nemusí obsahovať odôvodnenie, ak je na pojednávaní vyhlásený rozsudok za prítomnosti všetkých strán alebo ich zástupcov, ktorí sa vzdajú odvolania. 4.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 Manžel, ktorý pri uzavretí manželstva prijal priezvisko druhého manžela ako spoločné priezvisko, môže do troch mesiacov po právoplatnosti rozhodnutia o rozvode manželstva matričnému úradu oznámiť, že prijíma opäť svoje predošle priezvisko. Podľa § 44 CMP, rozsudky o výživnom sú vykonateľné doručením.</w:t>
      </w:r>
    </w:p>
    <w:p/>
    <w:p>
      <w:r>
        <w:t>Zdroj: KAUZIS.SK – https://www.kauzis.sk/judikatura/r/ECLI:SK:OSPP:2024:8724202302.2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