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7T/7/2025 z 25. 2. 2025</w:t>
      </w:r>
    </w:p>
    <w:p>
      <w:r>
        <w:t>Opravné uznesenie Okresného súdu Poprad z 25. februára 2025, sp. zn. 7T/7/2025, ECLI:SK:OSPP:2025:8725010113.2</w:t>
      </w:r>
    </w:p>
    <w:p>
      <w:r>
        <w:t>Súd: Okresný súd Poprad</w:t>
      </w:r>
    </w:p>
    <w:p>
      <w:r>
        <w:t>Spisová značka: 7T/7/2025</w:t>
      </w:r>
    </w:p>
    <w:p>
      <w:r>
        <w:t>ECLI: ECLI:SK:OSPP:2025:8725010113.2</w:t>
      </w:r>
    </w:p>
    <w:p>
      <w:r>
        <w:t>Dátum vydania: 25. 2.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7T/7/2025 8725010113 25. 02. 2025 JUDr. Peter Koman ECLI:SK:OSPP:2025:8725010113.2</w:t>
      </w:r>
    </w:p>
    <w:p>
      <w:r>
        <w:t>Opravné uznesenie Okresný súd Poprad, samosudca JUDr. Peter Koman, v trestnej veci obvineného A. B., nar. X.X.XXXX v C., trvale bytom C., D. XXXX/X, E. C., pre prečin podľa § 289 ods. 1 Trestného zákona, o oprave pisárskych chýb a iných zrejmých nesprávností, takto rozhodol: Podľa § 174 ods. 1 Trestného poriadku s použitím § 357 Trestného poriadku o p r a v u j e pisársku chybu v písomnom vyhotovení trestného rozkazu Okresného súdu Poprad č. k.: 7T/7/2025-37, zo dňa 6.2.2025 tak, že výrok o treste znie: Podľa § 289 ods. 1 Trestného zákona účinného od 6.8.2024, s použitím § 36 písm. j), písm. l), § 38 ods. 2 Trestného zákona trest odňatia slobody vo výmere 4 (štyroch) mesiacov. Podľa § 49 ods. 1 písm. a) Trestného zákona mu výkon trestu podmienečne odkladá. Podľa § 50 ods. 1 Trestného zákona mu určuje skúšobnú dobu na 14 (štrnásť) mesiacov. Podľa § Podľa § 61 ods. 1, ods. 2 Trestného zákona mu u k l a d á trest zákazu činnosti viesť všetky druhy motorových vozidiel na dobu 14 (štrnásť) mesiacov. odôvodnenie: Citovaným trestným rozkazom Okresného súdu Poprad bol obvinený A. B. uznaný vinným z prečinu ohrozenia pod vplyvom návykovej látky podľa § 289 ods. 1 Trestného zákona, začo mu súd uložil trest odňatia slobody vo výmere 4 (štyroch) mesiacov a uložený trest podmienečne odložil na skúšobnú dobu 14 mesiacov. Uvedený trestný rozkaz doposiaľ nenadobudol právoplatnosť. Súd zistil, že súčasťou trestného rozkazu je nesprávne označenie ustanovenia právneho predpisu a vzhľadom na vyššie uvedené bolo potrebné rozhodnúť o oprave takto vzniknutej zrejmej nesprávnosti. Podľa § 175 Trestného poriadku (v nadväznosti na § 357 Trestného poriadku), ak sa oprava vyhotovenia trestného rozkazu alebo oprava rovnopisu trestného rozkazu podstatne dotkla obsahu niektorého z výrokov trestného rozkazu, plynie prokurátorovi a osobe priamo dotknutej opraveným výrokom lehota na podanie odporu od doručenia rovnopisu uznesenia o oprave a ak bola proti uzneseniu o oprave podaná sťažnosť od doručenia rozhodnutia o sťažnosti. O tom treba osobu výrokom priamo dotknutú poučiť. Vzhľadom na vzniknutú zrejmú nesprávnosť, ku ktorej došlo pri vyhotovení trestného rozkazu, súd rozhodol o oprave tak, ako to uviedol vo výroku tohto rozhodnutia s tým, že uvedená zrejmá nesprávnosť sa žiadnym spôsobom podstatne nedotkla výroku o treste, ktorého druh a výmera ostala nezmenená a tak isto ostal zachovaný pomer poľahčujúcich a priťažujúcich okolností.</w:t>
      </w:r>
    </w:p>
    <w:p>
      <w:r>
        <w:t>Poučenie: Proti tomuto uzneseniu je prípustná sťažnosť do 3 pracovných dní od jeho oznámenia prostredníctvom tunajšieho súdu na Krajský súd v Prešove.</w:t>
      </w:r>
    </w:p>
    <w:p/>
    <w:p>
      <w:r>
        <w:t>Zdroj: KAUZIS.SK – https://www.kauzis.sk/judikatura/r/ECLI:SK:OSPP:2025:8725010113.2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