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2P/113/2024 z 26. 11. 2024</w:t>
      </w:r>
    </w:p>
    <w:p>
      <w:r>
        <w:t>Rozsudok Okresného súdu Stará Ľubovňa z 26. novembra 2024, sp. zn. 2P/113/2024, ECLI:SK:OSSL:2024:8524201136.2</w:t>
      </w:r>
    </w:p>
    <w:p>
      <w:r>
        <w:t>Súd: Okresný súd Stará Ľubovňa</w:t>
      </w:r>
    </w:p>
    <w:p>
      <w:r>
        <w:t>Spisová značka: 2P/113/2024</w:t>
      </w:r>
    </w:p>
    <w:p>
      <w:r>
        <w:t>ECLI: ECLI:SK:OSSL:2024:8524201136.2</w:t>
      </w:r>
    </w:p>
    <w:p>
      <w:r>
        <w:t>Dátum vydania: 26.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2P/113/2024 8524201136 26. 11. 2024 Mgr. Danka Majdáková ECLI:SK:OSSL:2024:8524201136.2</w:t>
      </w:r>
    </w:p>
    <w:p>
      <w:r>
        <w:t>ROZSUDOK V MENE SLOVENSKEJ REPUBLIKY Okresný súd Stará Ľubovňa, sudkyňou Mgr. Dankou Majdákovou v rodinnej veci starostlivosti súdu o maloleté dieťa: A. B., nar. XX.XX.XXXX, trvale bytom C. D. XXX, zastúpený kolíznym opatrovníkom: Úrad práce, sociálnych vecí a rodiny Stará Ľubovňa, Farbiarska 57, 064 01 Stará Ľubovňa, dieťa rodičov, matka: E. B., nar. XX.XX.XXXX, trvalé bytom C. D. XX, otec: F. B., nar. XX.XX.XXXX, trvalé bytom C. D. XX, za účasti osoby, ktorej dieťa bolo zverené do náhradnej osobnej starostlivosti: A. G., nar. XX.XX.XXXX, trvalé bytom C. D. XXX, v konaní o zvýšenie výživného zo strany matky, takto rozhodol: I. Súd m e n í rozsudok Okresného súdu Stará Ľubovňa sp. zn. 2P/99/2023 zo dňa 14.11.2023 v I. výroku tak, že výživné pre mal. A. B., nar. XX.XX.XXXX zo strany matky E. B., nar. XX.XX.XXXX z v y š u j e zo sumy 36,83 eur mesačne na sumu 37,53 eur mesačne, ktoré výživné je matka p o v i n n á uhrádzať vždy do 20-tého dňa toho ktorého mesiaca vopred na účet Úradu práce, sociálnych vecí a rodiny, Farbiarska 57, Stará Ľubovňa počnúc dňom právoplatnosti tohto rozsudku. II. Žiaden z účastníkov n e m á n á r o k na náhradu trov konania. odôvodnenie: 1. Uvedený rozsudok neobsahuje odôvodnenie v zmysle § 221 písm. a) zákona č. 160/2015 Z.z. Civilný sporový poriadok (ďalej len C.s.p.) za poutitia § 2 ods. 1 zákona č. 161/2015 Z.z. Civiný mimosporový poriadok (ďalej len C.m.p.) keďže na pojednávaní dňa 26.11.2024 po vyhlásení rozsudku sa všetci účastníci konania vzdali odvolania, čo potvrdili svojim podpisom do zápisnice z pojednávania. 2. Pre potreby prípadného ďalšieho rozhodovania o výkone rodičovských práv a povinnosti k mal. deťom súd dodáva, že pri rozhodnutí o zvýšení výživného pre mal. A. zo sumy 36,83 eur na sumu 37,53 eur mesačne zo strany jeho matky vychádzal zo skutočnosti, že posledná úprava výživného bola realizovaná rozsudkom tunajšieho súdu sp. zn. 2P/99/2023 zo dňa 14.11.2023, rozsudok nadobudol právoplatnosť dňa 04.122023. Mal. A. je v náhradnej osobnej starostlivosti jeho starého otca, ktorý sa o neho stará od narodenia, zostať v starostlivosti starého otca je želaním dieťaťa. Rodičia o vykonávanie osobnej starostlivosti o mal. A. neprejavujú záujem. 3. Matka dieťaťa naďalej poberá invalidný dôchodok v sume 226,60 eur mesačne, iný príjem nemá. Je negramotná, je vydatá, s manželom býva v murovanom jednoizbovom rodinnom dome, ktorý patrí rodičom jej manžela, má ešte jednu vyživovaciu povinnosť mal. A., nar. XX.XX.XXXX. Býva spolu s manželom a mal. A. v dvojizbovom murovanom dome. Elektrinu majú zavedenú od suseda a vodu si nosia z obecného výdajníka. Výdaje na chod domácností pozostávajú z elektriny – 50 eur, voda 20 eur, pranie v práčovni 20 eur.</w:t>
      </w:r>
    </w:p>
    <w:p>
      <w:r>
        <w:t>4. Otec dieťaťa podľa jeho vyjadrenia je nezamestnaný, nie je v evidencii uchádzačov o zamestnanie, chodí na brigády, kde zarobí cca 100 eur mesačne. 5. Mal. A. má 14 rokov, navštevuje 8. ročník špeciálnej triedy základnej školy v Lomničke. Býva so starým otcom, jeho plnoletými dcérami B. a B. a ich rodinami. Celkové náklady na starostlivosť o mal. A. sú podľa vyčíslenia starého otca v sume 160 eur (bez nákladov na bývanie).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r>
        <w:t>Účastníci konania sa odvolania voči všetkým výrokom tohto rozsudku vzdali.</w:t>
      </w:r>
    </w:p>
    <w:p/>
    <w:p>
      <w:r>
        <w:t>Zdroj: KAUZIS.SK – https://www.kauzis.sk/judikatura/r/ECLI:SK:OSSL:2024:8524201136.2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