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143/2016 z 11. 2. 2016</w:t>
      </w:r>
    </w:p>
    <w:p>
      <w:r>
        <w:t>Uznesenie Ústavného súdu SR z 11. februára 2016, sp. zn. II. ÚS 143/2016, ECLI:SK:USSR:2016:2.US.143.2016.1</w:t>
      </w:r>
    </w:p>
    <w:p>
      <w:r>
        <w:t>Súd: Ústavný súd Slovenskej republiky</w:t>
      </w:r>
    </w:p>
    <w:p>
      <w:r>
        <w:t>Spisová značka: II. ÚS 143/2016</w:t>
      </w:r>
    </w:p>
    <w:p>
      <w:r>
        <w:t>ECLI: ECLI:SK:USSR:2016:2.US.143.2016.1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143/2016-13 Ústavný súd Slovenskej republiky na neverejnom zasadnutí 11. februára 2016 v senáte zloženom z predsedu Sergeja Kohuta, zo sudkyne Ľudmily Gajdošíkovej a sudcu Lajosa Meszárosa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 zn. Rvp 10116/2014 – sp. zn. Rvp 10184/2014 vo veci namietaného porušenia jej základných práv zaručených v čl. 46 ods. 1 a čl. 48 ods. 1 Ústavy Slovenskej republiky a práva zaručeného v čl. 6 ods. 1 Dohovoru o ochrane ľudských práv a základných slobôd uzneseniami Krajského súdu v Banskej Bystrici sp. zn. 2 NcC 351/2012 zo 17. októbra 2012 (spojené pod sp. zn. 2 NcC 343/2012; Rvp 10116/2014), sp. zn. 2 NcC 369/2012 zo 17. októbra 2012 (spojené pod sp. zn. 2 NcC 343/2012; Rvp 10117/2014), sp. zn. 2 NcC 368/2012 zo 17. októbra 2012 (spojené pod sp. zn. 2 NcC 343/2012; Rvp 10118/2014), sp. zn. 2 NcC 364/2012 zo 17. októbra 2012 (spojené pod sp. zn. 2 NcC 343/2012; Rvp 10119/2014), sp. zn. 2 NcC 372/2012</w:t>
      </w:r>
    </w:p>
    <w:p>
      <w:r>
        <w:t>zo</w:t>
      </w:r>
    </w:p>
    <w:p>
      <w:r>
        <w:t>17.</w:t>
      </w:r>
    </w:p>
    <w:p>
      <w:r>
        <w:t>októbra</w:t>
      </w:r>
    </w:p>
    <w:p>
      <w:r>
        <w:t>2012</w:t>
      </w:r>
    </w:p>
    <w:p>
      <w:r>
        <w:t>(spojené</w:t>
      </w:r>
    </w:p>
    <w:p>
      <w:r>
        <w:t>pod</w:t>
      </w:r>
    </w:p>
    <w:p>
      <w:r>
        <w:t>sp.</w:t>
      </w:r>
    </w:p>
    <w:p>
      <w:r>
        <w:t>zn.</w:t>
      </w:r>
    </w:p>
    <w:p>
      <w:r>
        <w:t>2 NcC 343/2012;</w:t>
      </w:r>
    </w:p>
    <w:p>
      <w:r>
        <w:t>Rvp 10120/2014), sp. zn. 2 NcC 371/2012 zo 17. októbra 2012 (spojené pod sp. zn. 2 NcC 343/2012; Rvp 10121/2014), sp. zn. 2 NcC 370/2012 zo 17. októbra 2012 (spojené pod sp. zn. 2 NcC 343/2012; Rvp 10122/2014), sp. zn. 2 NcC 381/2012 zo 17. októbra 2012 (spojené pod sp. zn. 2 NcC 343/2012; Rvp 10123/2014), sp. zn. 2 NcC 378/2012 zo 17. októbra 2012 (spojené pod sp. zn. 2 NcC 343/2012; Rvp 10124/2014), sp. zn. 2 NcC 376/2012</w:t>
      </w:r>
    </w:p>
    <w:p>
      <w:r>
        <w:t>zo</w:t>
      </w:r>
    </w:p>
    <w:p>
      <w:r>
        <w:t>17.</w:t>
      </w:r>
    </w:p>
    <w:p>
      <w:r>
        <w:t>októbra</w:t>
      </w:r>
    </w:p>
    <w:p>
      <w:r>
        <w:t>2012</w:t>
      </w:r>
    </w:p>
    <w:p>
      <w:r>
        <w:t>(spojené</w:t>
      </w:r>
    </w:p>
    <w:p>
      <w:r>
        <w:t>pod</w:t>
      </w:r>
    </w:p>
    <w:p>
      <w:r>
        <w:t>sp.</w:t>
      </w:r>
    </w:p>
    <w:p>
      <w:r>
        <w:t>zn.</w:t>
      </w:r>
    </w:p>
    <w:p>
      <w:r>
        <w:t>2 NcC 343/2012;</w:t>
      </w:r>
    </w:p>
    <w:p>
      <w:r>
        <w:t>Rvp 10125/2014), sp. zn. 2 NcC 343/2012 zo 17. októbra 2012 (spojené pod sp. zn. 2 NcC 343/2012; Rvp 10126/2014), sp. zn. 3 NcC 407/2012 z 19. októbra 2012 (spojené pod sp. zn. 3 NcC 385/2012; Rvp 10127/2014), sp. zn. 3 NcC 406/2012 z 19. októbra 2012 (spojené pod sp. zn. 3 NcC 385/2012; Rvp 10128/2014), sp. zn. 3 NcC 405/2012 z 19. októbra 2012 (spojené pod sp. zn. 3 NcC 385/2012; Rvp 10129/2014), sp. zn.</w:t>
      </w:r>
    </w:p>
    <w:p>
      <w:r>
        <w:t>2 NcC 356/2012 zo 17. októbra 2012 (spojené pod sp. zn. 2 NcC 343/2012; Rvp 10130/2014), sp. zn. 2 NcC 2 NcC 354/2012 zo 17. októbra 2012 (spojené pod sp. zn. 2 NcC 343/2012; Rvp 10131/2014), sp. zn. 3 NcC 404/2012 z 19. októbra 2012 (spojené pod sp. zn. 3 NcC 385/2012; Rvp 10132/2014), sp. zn. 3 NcC 403/2012 z 19. októbra 2012 (spojené pod sp. zn. 3 NcC 385/2012; Rvp 10133/2014), sp. zn. 3 NcC 402/2012 z 19. októbra 2012 (spojené pod sp. zn. 3 NcC 385/2012; Rvp 10134/2014), sp. zn. 2 NcC 350/2012 zo 17. októbra 2012 (spojené pod sp. zn. 2 NcC 343/2012; Rvp 10135/2014), sp. zn. 5 NcC 360/2012 zo 17. októbra 2012 (spojené pod sp. zn. 5 NcC 343/2012; Rvp 10136/2014), sp. zn. 3 NcC 397/2012 z 19. októbra 2012 (spojené pod sp. zn. 3 NcC 385/2012; Rvp 10137/2014), sp. zn. 3 NcC 396/2012 z 19. októbra 2012 (spojené pod sp. zn. 3 NcC 385/2012; Rvp 10138/2014), sp. zn. 3 NcC 395/2021 z 19. októbra 2012 (spojené pod sp. zn. 3 NcC 385/2012; Rvp 10139/2014), sp. zn. 3 NcC 394/2012 z 19. októbra 2012 (spojené pod sp. zn. 3 NcC 385/2012; Rvp 10140/2014), sp. zn. 3 NcC 393/2012 z 19. októbra 2012 (spojené pod sp. zn. 3 NcC 385/2012; Rvp 10141/2014), sp. zn. 3 NcC 401/2012 z 19. októbra 2012 (spojené pod sp. zn. 3 NcC 385/2012; Rvp 10142/2014), sp. zn. 3 NcC 400/2012 z 19. októbra 2012 (spojené pod sp. zn. 3 NcC 385/2012; Rvp 10143/2014), sp. zn. 3 NcC 399/2012 z 19. októbra 2012 (spojené pod sp. zn. 3 NcC 385/2012; Rvp 10144/2014), sp. zn. 3 NcC 398/2012</w:t>
      </w:r>
    </w:p>
    <w:p>
      <w:r>
        <w:t>z 19. októbra</w:t>
      </w:r>
    </w:p>
    <w:p>
      <w:r>
        <w:t>2012</w:t>
      </w:r>
    </w:p>
    <w:p>
      <w:r>
        <w:t>(spojené</w:t>
      </w:r>
    </w:p>
    <w:p>
      <w:r>
        <w:t>pod</w:t>
      </w:r>
    </w:p>
    <w:p>
      <w:r>
        <w:t>sp.</w:t>
      </w:r>
    </w:p>
    <w:p>
      <w:r>
        <w:t>zn.</w:t>
      </w:r>
    </w:p>
    <w:p>
      <w:r>
        <w:t>3</w:t>
      </w:r>
    </w:p>
    <w:p>
      <w:r>
        <w:t>NcC</w:t>
      </w:r>
    </w:p>
    <w:p>
      <w:r>
        <w:t>385/2012;</w:t>
      </w:r>
    </w:p>
    <w:p>
      <w:r>
        <w:t>Rvp 10145/2014), sp. zn. 3 NcC 392/2012 z 19. októbra 2012 (spojené pod sp. zn. 3 NcC 385/2012; Rvp 10146/2014), sp. zn. 3 NcC 391/2012 z 19. októbra 2012 (spojené pod sp. zn. 3 NcC 385/2012; Rvp 10147/2014), sp. zn. 3 NcC 390/2012 z 19. októbra 2012 (spojené pod sp. zn. 3 NcC 385/2012; Rvp 10148/2014), sp. zn. 5 NcC 358/2012 zo 17. októbra 2012 (spojené pod sp. zn. 5 NcC 343/2012; Rvp 10149/2014), sp. zn. 5 NcC 355/2012 zo 17. októbra 2012 (spojené pod sp. zn. 5 NcC 343/2012; Rvp 10150/2014), sp. zn. 5 NcC 353/2012 zo 17. októbra 2012 (spojené pod sp. zn. 5 NcC 343/2012; Rvp 10151/2014), sp. zn. 5 NcC 350/2012 zo 17. októbra 2012 (spojené pod sp. zn. 5 NcC 343/2012; Rvp 10152/2014), sp. zn. 5 NcC 366/2012 zo 17. októbra 2012 (spojené pod sp. zn. 5 NcC 343/2012; Rvp 10153/2014), sp. zn. 5 NcC 362/2012 zo 17. októbra 2012 (spojené pod sp. zn. 5 NcC 343/2012; Rvp 10154/2014), sp. zn. 5 NcC 361/2012 zo 17. októbra 2012 (spojené pod sp. zn. 5 NcC 343/2012;</w:t>
      </w:r>
    </w:p>
    <w:p>
      <w:r>
        <w:t>2</w:t>
      </w:r>
    </w:p>
    <w:p>
      <w:r>
        <w:t>Rvp 10155/2014), sp. zn. 5 NcC 393/2012 z 18. októbra 2012 (spojené pod sp. zn. 5 NcC 344/2012; Rvp 10156/2014), sp. zn. 3 NcC 387/2012 z 19. októbra 2012 (spojené pod sp. zn. 3 NcC 385/2012; Rvp 10157/2014), sp. zn. 3 NcC 386/2012 z 19. októbra 2012 (spojené pod sp. zn. 3 NcC 385/2012; Rvp 10158/2014), sp. zn. 3 NcC 385/2012 z 19. októbra 2012 (spojené pod sp. zn. 3 NcC 385/2012; Rvp 10159/2014), sp. zn. 5 NcC 404/2012 z 18. októbra 2012 (spojené pod sp. zn. 5 NcC 344/2012; Rvp 10160/2014), sp. zn. 5 NcC</w:t>
      </w:r>
    </w:p>
    <w:p>
      <w:r>
        <w:t>402/2012 z 18. októbra 2012 (spojené pod sp. zn.</w:t>
      </w:r>
    </w:p>
    <w:p>
      <w:r>
        <w:t>5 NcC 344/2012; Rvp 10161/2014), sp. zn. 5 NcC 401/2012 z 18. októbra 2012 (spojené pod sp. zn. 5 NcC 344/2012; Rvp 10162/2014), sp. zn. 5 NcC 395/2012 z 18. októbra 2012 (spojené pod sp. zn. 5 NcC 344/2012; Rvp 10163/2014), sp. zn. 3 NcC 389/2012 z 19. októbra 2012 (spojené pod sp. zn. 3 NcC 385/2012; Rvp 10164/2014), sp. zn. 3 NcC 388/2012</w:t>
      </w:r>
    </w:p>
    <w:p>
      <w:r>
        <w:t>z</w:t>
      </w:r>
    </w:p>
    <w:p>
      <w:r>
        <w:t>19.</w:t>
      </w:r>
    </w:p>
    <w:p>
      <w:r>
        <w:t>októbra</w:t>
      </w:r>
    </w:p>
    <w:p>
      <w:r>
        <w:t>2012</w:t>
      </w:r>
    </w:p>
    <w:p>
      <w:r>
        <w:t>(spojené</w:t>
      </w:r>
    </w:p>
    <w:p>
      <w:r>
        <w:t>pod</w:t>
      </w:r>
    </w:p>
    <w:p>
      <w:r>
        <w:t>sp.</w:t>
      </w:r>
    </w:p>
    <w:p>
      <w:r>
        <w:t>zn.</w:t>
      </w:r>
    </w:p>
    <w:p>
      <w:r>
        <w:t>3 NcC 385/2012;</w:t>
      </w:r>
    </w:p>
    <w:p>
      <w:r>
        <w:t>Rvp 10165/2014), sp. zn. 5 NcC 344/2012 z 18. októbra 2012 (spojené pod sp. zn. 5 NcC 344/2012; Rvp 10166/2014), sp. zn. 5 NcC 347/2012 z 18. októbra 2012 (spojené pod sp. zn. 5 NcC 344/2012; Rvp 10167/2014), sp. zn. 5 NcC 349/2012 z 18. októbra 2012 (spojené pod sp. zn. 5 NcC 344/2012; Rvp 10168/2014), sp. zn. 5 NcC 354/2012 z 18. októbra 2012 (spojené pod sp. zn. 5 NcC 344/2012; Rvp 10169/2014), sp. zn. 5 NcC 356/2012 z 18. októbra 2012 (spojené pod sp. zn. 5 NcC 344/2012; Rvp 10170/2014), sp. zn. 5 NcC 359/2012 z 18. októbra 2012 (spojené pod sp. zn. 5 NcC 344/2012; Rvp 10171/2014), sp. zn. 5 NcC 363/2012 z 18. októbra 2012 (spojené pod sp. zn. 5 NcC 344/2012; Rvp 10172/2014), sp. zn. 5 NcC 367/2012 z 18. októbra 2012 (spojené pod sp. zn. 5 NcC 344/2012; Rvp 10173/2014), sp. zn. 5 NcC 369/2012 z 18. októbra 2012 (spojené pod sp. zn. 5 NcC 344/2012; Rvp 10174/2014), sp. zn. 5 NcC 370/2012 z 18. októbra 2012 (spojené pod sp. zn. 5 NcC 344/2012; Rvp 10175/2014), sp. zn. 5 NcC 371/2012 z 18. októbra 2012 (spojené pod sp. zn. 5 NcC 344/2012; Rvp 10176/2014), sp. zn. 5 NcC 372/2012 z 18. októbra 2012 (spojené pod sp. zn. 5 NcC 344/2012; Rvp 10177/2014), sp. zn. 5 NcC 375/2012 z 18. októbra 2012 (spojené pod sp. zn. 5 NcC 344/2012; Rvp 10178/2014), sp. zn. 5 NcC 378/2012 z 18. októbra 2012 (spojené pod sp. zn. 5 NcC 344/2012; Rvp 10179/2014), sp. zn. 5 NcC 379/2012</w:t>
      </w:r>
    </w:p>
    <w:p>
      <w:r>
        <w:t>z 18. októbra</w:t>
      </w:r>
    </w:p>
    <w:p>
      <w:r>
        <w:t>2012</w:t>
      </w:r>
    </w:p>
    <w:p>
      <w:r>
        <w:t>(spojené</w:t>
      </w:r>
    </w:p>
    <w:p>
      <w:r>
        <w:t>pod</w:t>
      </w:r>
    </w:p>
    <w:p>
      <w:r>
        <w:t>sp.</w:t>
      </w:r>
    </w:p>
    <w:p>
      <w:r>
        <w:t>zn.</w:t>
      </w:r>
    </w:p>
    <w:p>
      <w:r>
        <w:t>5</w:t>
      </w:r>
    </w:p>
    <w:p>
      <w:r>
        <w:t>NcC</w:t>
      </w:r>
    </w:p>
    <w:p>
      <w:r>
        <w:t>344/2012;</w:t>
      </w:r>
    </w:p>
    <w:p>
      <w:r>
        <w:t>Rvp 10180/2014), sp. zn. 5 NcC 381/2012 z 18. októbra 2012 (spojené pod sp. zn.</w:t>
      </w:r>
    </w:p>
    <w:p>
      <w:r>
        <w:t>3</w:t>
      </w:r>
    </w:p>
    <w:p>
      <w:r>
        <w:t>5 NcC 344/2012; Rvp 10181/2014), sp. zn. 5 NcC 390/2012 z 18. októbra 2012 (spojené pod sp. zn. 5 NcC 344/2012; Rvp 10182/2014), sp. zn. 5 NcC 391/2012 z 18. októbra 2012 (spojené pod sp. zn. 5 NcC 344/2012; Rvp 10183/2014), sp. zn. 5 NcC 392/2012 z 18. októbra 2012 (spojené pod sp. zn. 5 NcC 344/2012; Rvp 10184/2014) a takto rozhodol: 1. Sťažnosti obchodnej spoločnosti POHOTOVOSŤ, s. r. o., vedené pod sp. zn. Rvp 10116/2014 – sp. zn. Rvp 10184/2014 spája na spoločné konanie, ktoré bude ďalej vedené pod sp. zn. Rvp 10116/2014. 2. Sťažnosti obchodnej spoločnosti POHOTOVOSŤ, s. r. o., odmieta pre nedostatok právomoci Ústavného súdu Slovenskej republiky na ich prerokovanie. Odôvodnenie: I. Ústavnému súdu Slovenskej republiky (ďalej len „ústavný súd“) boli 24. apríla 2014, 29. apríla 2014, 2. mája 2014, 5. mája 2014, 14. mája 2014, 19. mája 2014, 26. mája 2014, 27. mája 2014, 9. júna 2014, 7. júla 2014, 11. júla 2014, 21. júla 2014 a 28. júla 2014 doručené sťažnosti obchodnej spoločnosti POHOTOVOSŤ, s. r. o. (ďalej len „sťažovateľka“), ktorými namieta porušenie svojich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a uzneseniami Okresného súdu Poprad (ďalej len „okresný súd“) uvedenými v záhlaví tohto uznesenia (ďalej len „napadnuté uznesenia okresného súdu“), ako aj postupom</w:t>
      </w:r>
    </w:p>
    <w:p>
      <w:r>
        <w:t>4</w:t>
      </w:r>
    </w:p>
    <w:p>
      <w:r>
        <w:t>a uzneseniami Krajského súdu v Prešove (ďalej len „krajský súd“) uvedenými v záhlaví tohto uznesenia (ďalej len „napadnuté uznesenia krajského súdu“).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exekúcie ex offo zastavené, resp. vyhlásené za neprípustné a následne zastavené.</w:t>
      </w:r>
    </w:p>
    <w:p>
      <w:r>
        <w:t>5</w:t>
      </w:r>
    </w:p>
    <w:p>
      <w:r>
        <w:t>Na základe odvolaní sťažovateľky boli napadnuté uznesenia okresného súdu potvrdené napadnutými uzneseniami krajského súdu ako vecne správne. Sťažovateľka v sťažnostiach podaných ústavnému súdu v obšírnej argumentácii namieta, že postupom a uzneseniami okresného súdu a krajského súdu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okresný súd už raz udelil súdnemu exekútorovi poverenia,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okresného súdu podľa sťažovateľky nenapravil ani krajský súd. Sťažovateľka ďalej v sťažnostiach podaných ústavnému súdu namieta, že tak okresný súd,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w:t>
      </w:r>
    </w:p>
    <w:p>
      <w:r>
        <w:t>6</w:t>
      </w:r>
    </w:p>
    <w:p>
      <w:r>
        <w:t>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a podľa čl. 47 charty, ako aj práv podľa čl. 6 ods. 1 dohovoru a podľa čl. 1 dodatkového protokolu a tiež porušenie čl. 12 ods. 2 ústavy a čl. 14 dohovoru postupom okresného súdu v napadnutých konaniach a napadnutými uzneseniami, ako aj porušenie jej základných práv podľa čl. 20 ods. 1 a čl. 46 ods. 1 ústavy, práv podľa čl. 6 ods. 1 dohovoru, podľa čl. 1 dodatkového protokolu a základného práva podľa čl. 47 charty postupom krajského súdu v napadnutých konaniach a jeho napadnutými uzneseniami, napadnuté uznesenia okresného súdu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w:t>
      </w:r>
    </w:p>
    <w:p>
      <w:r>
        <w:t>7</w:t>
      </w:r>
    </w:p>
    <w:p>
      <w:r>
        <w:t>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w:t>
      </w:r>
    </w:p>
    <w:p>
      <w:r>
        <w:t>8</w:t>
      </w:r>
    </w:p>
    <w:p>
      <w:r>
        <w:t>ústavy použiť na prípadné spojenie vecí primerane § 112 ods. 1 OSP. S prihliadnutím na obsah sťažností uvedených vo výrokovej časti tohto uznesenia</w:t>
      </w:r>
    </w:p>
    <w:p>
      <w:r>
        <w:t>a z tohto obsahu</w:t>
      </w:r>
    </w:p>
    <w:p>
      <w:r>
        <w:t>vyplývajúcu právnu a skutkovú súvislosť týchto sťažností, a taktiež prihliadajúc na totožnosť v osobe sťažovateľky a krajského súdu, proti ktorému tieto sťažnosti smerujú, rozhodol ústavný súd, uplatniac citované právne normy, tak, ako to je uvedené v bode l výroku tohto uznesenia. III. Ústavný súd po preskúmaní predmetu sťažností vedených pod sp. zn. Rvp 10116/2014 – sp. zn. Rvp 10184/2014, týkajúcich sa v záhlaví tohto rozhodnutia citovaných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o námietkach zaujatosti vznesených sťažovateľkou v prvostupňových konaniach vedených pred okresnými súdmi, v ktorých si uplatnila svoje žalobné nároky podľa zákona č. 514/2003 Z. z. o zodpovednosti za škodu spôsobenú pri výkone verejnej moci a o zmene niektorých zákonov v znení neskorších predpisov. V tejto veci ústavný súd nadväzuje na svoje predchádzajúce právne názory obsiahnuté v celom rade uznesení, ktorými rozhodol o skutkovo rovnakých veciach sťažovateľky, a keďže nezistil dôvod na to, aby sa od týchto rozhodnutí odchýlil, dospel k rovnakému záveru, že sťažnosti sťažovateľky treba odmietnuť pre nedostatok právomoci ústavného súdu na ich prerokovanie podľa § 25 ods. 2 zákona o ústavnom súde, keďže v ďalšom konaní v merite veci pred všeobecnými súdmi sa môže sťažovateľka domáhať ochrany svojich práv podaním odvolania proti rozhodnutiam prvostupňového súdu, prípadne aj dovolania proti rozhodnutiam odvolacieho súdu. Vzhľadom na uvedené, zohľadňujúc požiadavku princípu právnej istoty, aby sa na určitú právne relevantnú otázku pri jej opakovaní v rovnakých podmienkach dala vždy</w:t>
      </w:r>
    </w:p>
    <w:p>
      <w:r>
        <w:t>9</w:t>
      </w:r>
    </w:p>
    <w:p>
      <w:r>
        <w:t>rovnaká odpoveď, sa preto ústavný súd plne stotožňuje s dôvodmi svojich predchádzajúcich rozhodnutí (napr. sp. zn. I. ÚS 92/2013 z 13. februára 2013, sp. zn. I. ÚS 293/2013 z 29. mája 2013, sp. zn. II. ÚS 447/2013 z 12. septembra 2013, sp. zn. II. ÚS 460/2013 z 26. septembra 2013, sp. zn. III. ÚS 301/2013 z 2. júla 2013, mutatis mutandis sp. zn. IV. ÚS 483/2013 z 15. augusta 2013), ktoré skončili odmietnutím rovnakých, resp. podobných sťažností sťažovateľky z dôvodov tam uvedených. Ústavný súd v takýchto a obdobných prípadoch nemá dôvod meniť svoje už ustálené právne názory, a preto v podrobnostiach odkazuje na už citované svoje skoršie rozhodnutia. Keďže sťažnosti boli odmietnuté ako celok, ústavný súd o ďalších návrhoch sťažovateľky v nich uplatnených nerozhodoval. P o u č e n i e : Proti tomuto rozhodnutiu nemožno podať opravný prostriedok. V Košiciach 11. februára 2016</w:t>
      </w:r>
    </w:p>
    <w:p>
      <w:r>
        <w:t>10</w:t>
      </w:r>
    </w:p>
    <w:p/>
    <w:p>
      <w:r>
        <w:t>Zdroj: KAUZIS.SK – https://www.kauzis.sk/judikatura/r/ECLI:SK:USSR:2016:2.US.143.2016.1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