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37/99 z 30. 3. 1999</w:t>
      </w:r>
    </w:p>
    <w:p>
      <w:r>
        <w:t>Uznesenie Ústavného súdu SR z 30. marca 1999, sp. zn. II. ÚS 37/99, ECLI:SK:USSR:2016:2.US.37.1999.1</w:t>
      </w:r>
    </w:p>
    <w:p>
      <w:r>
        <w:t>Súd: Ústavný súd Slovenskej republiky</w:t>
      </w:r>
    </w:p>
    <w:p>
      <w:r>
        <w:t>Spisová značka: II. ÚS 37/99</w:t>
      </w:r>
    </w:p>
    <w:p>
      <w:r>
        <w:t>ECLI: ECLI:SK:USSR:2016:2.US.37.1999.1</w:t>
      </w:r>
    </w:p>
    <w:p>
      <w:r>
        <w:t>Dátum vydania: 30. 3. 1999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37/99 Ústavný súd Slovenskej republiky v Košiciach na neverejnom zasadnutí senátu 5. mája 1999 posúdil podmienky ďalšieho konania prijatého podnetu , vo veci porušenia základných práv a slobôd Okresným súdom v Bardejove v konaní pod sp. zn. 8 C 520/97 a takto rozhodol: Konanie o prijatom podnete</w:t>
      </w:r>
    </w:p>
    <w:p>
      <w:r>
        <w:t>zastavuje.</w:t>
      </w:r>
    </w:p>
    <w:p>
      <w:r>
        <w:t>Odôvodnenie Ústavný súd Slovenskej republiky na neverejnom zasadnutí 30. marca 1999 po predbežnom prerokovaní podnetu</w:t>
      </w:r>
    </w:p>
    <w:p>
      <w:r>
        <w:t>(ďalej len</w:t>
      </w:r>
    </w:p>
    <w:p>
      <w:r>
        <w:t>„navrhovateľ“) vo veci porušenia čl. 1 a čl. 48 Ústavy Slovenskej republiky Okresným súdom v Bardejove v konaní pod sp. zn. 8 C 520/97 ho uznesením prijal na ďalšie konanie. Keďže ďalšou podmienkou, aby súd mohol konať, je právne zastúpenie účastníka konania pred ústavným súdom podľa § 22 zákona Národnej rady Slovenskej republiky č. 38/1993 Z. z. o organizácii Ústavného súdu Slovenskej republiky, o konaní pred ním a o postavení jeho sudcov v znení zákona č. 293/1995 Z. z., ústavný súd 30. marca 1999 navrhovateľa písomne vyzval, aby do 10 dní od doručenia tejto</w:t>
      </w:r>
    </w:p>
    <w:p>
      <w:r>
        <w:t>výzvy doručil na ústavný súd písomné splnomocnenie pre advokáta, ktorý ho bude zastupovať v konaní na ústavnom súde s upozornením, že ak v stanovenej lehote ústavný súd nedostane požadované splnomocnenie, konanie zastaví (§ 22 zákona č. 38/1993 Z. z.). Navrhovateľ v lehote určenej ústavným súdom doručil písomné splnomocnenie podpísané advokátom JUDr. Jozefom Jaroščákom a je na ňom dátum 11. 4. 1999. Keďže toto plnomocenstvo sa zreteľne javilo ako nie originálne, najmä pečiatka a podpis bol zrejme prefotený z ešte nevyplneného tlačiva a písacím strojom, čo sa už zdalo originálne, bolo vpísané meno, priezvisko a adresa podnecovateľa, aj text, čoho sa zastupovanie týka, ústavný súd listom z 15. apríla 1999 požiadal JUDr. Jozefa Jaroščáka, advokáta v Bardejove, o vysvetlenie, či ho pán</w:t>
      </w:r>
    </w:p>
    <w:p>
      <w:r>
        <w:t>poveril vo veci</w:t>
      </w:r>
    </w:p>
    <w:p>
      <w:r>
        <w:t>II. ÚS 37/99 zastupovaním na ústavnom súde a či mu podpísal splnomocnenie. JUDr. Jozef Jaroščák dňa 28. apríla 1999 telefonicky oznámil JUDr. Černákovi, sudcovi spravodajcovi, že ani v tomto prípade, ani doteraz v žiadnej inej veci, ktorú predložil pán</w:t>
      </w:r>
    </w:p>
    <w:p>
      <w:r>
        <w:t>na ústavný súd, neprevzal od menovaného splnomocnenie.</w:t>
      </w:r>
    </w:p>
    <w:p>
      <w:r>
        <w:t>Toto tvrdenie oznámi súdu aj písomne. Za tejto situácie, keď navrhovateľ nesplnil ďalšiu základnú podmienku, aby ústavný súd mohol v konaní pokračovať, nedoručil v lehote, ktorú mu súd určil, kvalifikované splnomocnenie pre advokáta, ktorý by ho mal zastupovať na ústavnom súde, ústavný súd konanie zastavil. Splnomocnenie, ktoré podnecovateľ zaslal na ústavný súd, nie je originálne a naviac advokát, ktorý ho mal údajne zastupovať, poprel, že takéto splnomocnenie od pána</w:t>
      </w:r>
    </w:p>
    <w:p>
      <w:r>
        <w:t>dostal.</w:t>
      </w:r>
    </w:p>
    <w:p>
      <w:r>
        <w:t>P o u č e n i e : Proti tomuto uzneseniu nemožno podať opravný prostriedok. V Košiciach 5. mája 1999 JUDr. Ján D r g o n e c predseda senátu</w:t>
      </w:r>
    </w:p>
    <w:p>
      <w:r>
        <w:t>2</w:t>
      </w:r>
    </w:p>
    <w:p>
      <w:r>
        <w:t>3</w:t>
      </w:r>
    </w:p>
    <w:p/>
    <w:p>
      <w:r>
        <w:t>Zdroj: KAUZIS.SK – https://www.kauzis.sk/judikatura/r/ECLI:SK:USSR:2016:2.US.37.1999.1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