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389/2016 z 21. 6. 2016</w:t>
      </w:r>
    </w:p>
    <w:p>
      <w:r>
        <w:t>Uznesenie Ústavného súdu SR z 21. júna 2016, sp. zn. III. ÚS 389/2016, ECLI:SK:USSR:2016:3.US.389.2016.1</w:t>
      </w:r>
    </w:p>
    <w:p>
      <w:r>
        <w:t>Súd: Ústavný súd Slovenskej republiky</w:t>
      </w:r>
    </w:p>
    <w:p>
      <w:r>
        <w:t>Spisová značka: III. ÚS 389/2016</w:t>
      </w:r>
    </w:p>
    <w:p>
      <w:r>
        <w:t>ECLI: ECLI:SK:USSR:2016:3.US.389.2016.1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389/2016-18 Ústavný súd Slovenskej republiky na neverejnom zasadnutí senátu 21. júna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spisových značiek 19 CoE 165/2013 z 19. septembra 2013 (Rvp 10341/2015), 4 CoE 22/2013 z 31. októbra 2013 (Rvp 10342/2015), 19 CoE 288/2012 z 28. mája 2013 (Rvp 10343/2015), 2 CoE 208/2013 z 8. augusta 2013 (Rvp 10344/2015), 3 CoE 272/2013 z 30. decembra 2013 (Rvp 10345/2015), 8 CoE 70/2013 z 31. júla 2013 (Rvp 10346/2015), 19 CoE 170/2013 zo 17. decembra 2013 (Rvp 10347/2015), 11 CoE 144/2013 z 5. decembra 2013 (Rvp 10348/2015), 8 CoE 111/2012 z 31. januára 2013 (Rvp 10349/2015), 2 CoE 131/2013 zo 4. júla 2013 (Rvp 10350/2015), 16 CoE 181/2013 z 27. augusta 2013 (Rvp 10351/2015), 16 CoE 249/2013 z 28. novembra 2013 (Rvp 10393/2015), 4 CoE 23/2013 z 29. novembra 2013 (Rvp 10394/2015), 23 CoE 42/2014 z 12. mája 2014 (Rvp 10395/2015), 2 CoE 72/2014 z 12. augusta 2014 (Rvp 10396/2015), 4 CoE 44/2012 z 30. apríla 2013 (Rvp 10397/2015), 23 CoE 290/2013 z 20. novembra 2013 (Rvp 10398/2015), 2 CoE 341/2013 z 13. februára 2014 (Rvp 10399/2015), 19 CoE 164/2013 zo 17. decembra 2013 (Rvp 10400/2015), 2 CoE 208/2013 z 8. augusta 2013 (Rvp 10401/2015), 2 CoE 308/2013 z 10. decembra 2013 (Rvp 10402/2015), 17 CoE 148/2013 zo 4. júna 2014</w:t>
      </w:r>
    </w:p>
    <w:p>
      <w:r>
        <w:t>(Rvp 10403/2015), 17 CoE 121/2013 z 21. augusta 2013 (Rvp 11330/2015), 4 CoE 27/2013 z 31.</w:t>
      </w:r>
    </w:p>
    <w:p>
      <w:r>
        <w:t>januára</w:t>
      </w:r>
    </w:p>
    <w:p>
      <w:r>
        <w:t>2013 (Rvp 11331/2015), 23 CoE 105/2014 z 20. augusta</w:t>
      </w:r>
    </w:p>
    <w:p>
      <w:r>
        <w:t>(Rvp 11332/2015),</w:t>
      </w:r>
    </w:p>
    <w:p>
      <w:r>
        <w:t>23 CoE 466/2012</w:t>
      </w:r>
    </w:p>
    <w:p>
      <w:r>
        <w:t>z 13.</w:t>
      </w:r>
    </w:p>
    <w:p>
      <w:r>
        <w:t>marca</w:t>
      </w:r>
    </w:p>
    <w:p>
      <w:r>
        <w:t>2013</w:t>
      </w:r>
    </w:p>
    <w:p>
      <w:r>
        <w:t>(Rvp</w:t>
      </w:r>
    </w:p>
    <w:p>
      <w:r>
        <w:t>2014</w:t>
      </w:r>
    </w:p>
    <w:p>
      <w:r>
        <w:t>11333/2015),</w:t>
      </w:r>
    </w:p>
    <w:p>
      <w:r>
        <w:t>23 CoE 357/2013 z 5. februára 2014 (Rvp 11334/2015), 4 CoE 238/2012 z 31. januára 2013 (Rvp 11335/2015), 19 CoE 562/2011 z 3. júla 2012 (Rvp 11336/2015), 11 CoE 157/2013 z 22. januára 2014 (Rvp 11337/2015), 23 CoE 103/2013 z 27. mája 2013 (Rvp 11338/2015), 16 CoE 116/2013 z 12. júla 2013 (Rvp 11339/2015), 2 CoE 35/2013 zo 7. marca 2013 (Rvp 11340/2015); ako aj postupom a uzneseniami Najvyššieho súdu Slovenskej republiky spisových značiek: 5 Oboer 78/2014 z 30. apríla 2015 (Rvp 10341/2015), 3 Oboer 118/2014 z 20. apríla 2015 (Rvp 10342/2015), 1 ECdo 222/2013 zo 17. marca 2015 (Rvp 10343/2015),</w:t>
      </w:r>
    </w:p>
    <w:p>
      <w:r>
        <w:t>6 ECdo 145/2014</w:t>
      </w:r>
    </w:p>
    <w:p>
      <w:r>
        <w:t>z 21.</w:t>
      </w:r>
    </w:p>
    <w:p>
      <w:r>
        <w:t>apríla</w:t>
      </w:r>
    </w:p>
    <w:p>
      <w:r>
        <w:t>2015</w:t>
      </w:r>
    </w:p>
    <w:p>
      <w:r>
        <w:t>(Rvp</w:t>
      </w:r>
    </w:p>
    <w:p>
      <w:r>
        <w:t>10344/2015),</w:t>
      </w:r>
    </w:p>
    <w:p>
      <w:r>
        <w:t>1 Oboer 232/2014 z 31. marca 2015 (Rvp 10345/2015), 5 Oboer 316/2014 z 30. marca 2015 (Rvp</w:t>
      </w:r>
    </w:p>
    <w:p>
      <w:r>
        <w:t>10346/2015),</w:t>
      </w:r>
    </w:p>
    <w:p>
      <w:r>
        <w:t>4 ECdo 142/2014</w:t>
      </w:r>
    </w:p>
    <w:p>
      <w:r>
        <w:t>z 25.</w:t>
      </w:r>
    </w:p>
    <w:p>
      <w:r>
        <w:t>marca</w:t>
      </w:r>
    </w:p>
    <w:p>
      <w:r>
        <w:t>2015</w:t>
      </w:r>
    </w:p>
    <w:p>
      <w:r>
        <w:t>(Rvp</w:t>
      </w:r>
    </w:p>
    <w:p>
      <w:r>
        <w:t>10347/2015),</w:t>
      </w:r>
    </w:p>
    <w:p>
      <w:r>
        <w:t>2 ECdo 130/2014 z 30. marca 2015 (Rvp 10348/2015), 1 ECdo 262/2013 z 30. marca 2015 (Rvp 10349/2015), 4 Oboer 90/2014 z 27. februára 2015 (Rvp 10350/2015), 5 Oboer 34/2014 z 30. marca 2015 (Rvp 10351/2015), 5 Oboer 80/2014 z 30. apríla 2015 (Rvp</w:t>
      </w:r>
    </w:p>
    <w:p>
      <w:r>
        <w:t>10393/2015),</w:t>
      </w:r>
    </w:p>
    <w:p>
      <w:r>
        <w:t>4</w:t>
      </w:r>
    </w:p>
    <w:p>
      <w:r>
        <w:t>Oboer</w:t>
      </w:r>
    </w:p>
    <w:p>
      <w:r>
        <w:t>181/2014</w:t>
      </w:r>
    </w:p>
    <w:p>
      <w:r>
        <w:t>z 31.</w:t>
      </w:r>
    </w:p>
    <w:p>
      <w:r>
        <w:t>marca</w:t>
      </w:r>
    </w:p>
    <w:p>
      <w:r>
        <w:t>2015</w:t>
      </w:r>
    </w:p>
    <w:p>
      <w:r>
        <w:t>(Rvp</w:t>
      </w:r>
    </w:p>
    <w:p>
      <w:r>
        <w:t>10394/2015),</w:t>
      </w:r>
    </w:p>
    <w:p>
      <w:r>
        <w:t>3 ECdo 171/2014 z 21. apríla 2015 (Rvp 10395/2015), 8 ECdo 23/2015 z 28. apríla 2015 (Rvp 10396/2015), 2 Oboer 289/2013 z 29. apríla 2015 (Rvp 10397/2015), 1 Oboer 91/2014 zo 14.</w:t>
      </w:r>
    </w:p>
    <w:p>
      <w:r>
        <w:t>apríla</w:t>
      </w:r>
    </w:p>
    <w:p>
      <w:r>
        <w:t>2015</w:t>
      </w:r>
    </w:p>
    <w:p>
      <w:r>
        <w:t>(Rvp 10399/2015),</w:t>
      </w:r>
    </w:p>
    <w:p>
      <w:r>
        <w:t>3</w:t>
      </w:r>
    </w:p>
    <w:p>
      <w:r>
        <w:t>(Rvp</w:t>
      </w:r>
    </w:p>
    <w:p>
      <w:r>
        <w:t>10398/2015),</w:t>
      </w:r>
    </w:p>
    <w:p>
      <w:r>
        <w:t>Oboer</w:t>
      </w:r>
    </w:p>
    <w:p>
      <w:r>
        <w:t>152/2014</w:t>
      </w:r>
    </w:p>
    <w:p>
      <w:r>
        <w:t>3 ECdo 254/2014 z 30.</w:t>
      </w:r>
    </w:p>
    <w:p>
      <w:r>
        <w:t>apríla</w:t>
      </w:r>
    </w:p>
    <w:p>
      <w:r>
        <w:t>2015</w:t>
      </w:r>
    </w:p>
    <w:p>
      <w:r>
        <w:t>z 27.</w:t>
      </w:r>
    </w:p>
    <w:p>
      <w:r>
        <w:t>apríla</w:t>
      </w:r>
    </w:p>
    <w:p>
      <w:r>
        <w:t>2015</w:t>
      </w:r>
    </w:p>
    <w:p>
      <w:r>
        <w:t>(Rvp</w:t>
      </w:r>
    </w:p>
    <w:p>
      <w:r>
        <w:t>10400/2015),</w:t>
      </w:r>
    </w:p>
    <w:p>
      <w:r>
        <w:t>6 ECdo 145/2014 z 21. apríla 2015 (Rvp 10401/2015), 5 Oboer 102/2014 z 30. apríla 2015 (Rvp 10402/2015), 1 ECdo 208/2014 zo 17. marca 2015 (Rvp 10403/2015), 4 Oboer 93/2014 z 31. marca 2015 (Rvp 11330/2015), 5 Oboer 336/2014 z 30. apríla 2015 (Rvp</w:t>
      </w:r>
    </w:p>
    <w:p>
      <w:r>
        <w:t>11331/2015),</w:t>
      </w:r>
    </w:p>
    <w:p>
      <w:r>
        <w:t>7</w:t>
      </w:r>
    </w:p>
    <w:p>
      <w:r>
        <w:t>ECdo</w:t>
      </w:r>
    </w:p>
    <w:p>
      <w:r>
        <w:t>316/2014</w:t>
      </w:r>
    </w:p>
    <w:p>
      <w:r>
        <w:t>z 15.</w:t>
      </w:r>
    </w:p>
    <w:p>
      <w:r>
        <w:t>apríla</w:t>
      </w:r>
    </w:p>
    <w:p>
      <w:r>
        <w:t>2015</w:t>
      </w:r>
    </w:p>
    <w:p>
      <w:r>
        <w:t>(Rvp</w:t>
      </w:r>
    </w:p>
    <w:p>
      <w:r>
        <w:t>11332/2015),</w:t>
      </w:r>
    </w:p>
    <w:p>
      <w:r>
        <w:t>4 Oboer 122/2014 z 31. marca 2015 (Rvp 11333/2015), 4 ECdo 216/2014 z 11. mája 2015 (Rvp</w:t>
      </w:r>
    </w:p>
    <w:p>
      <w:r>
        <w:t>11334/2015),</w:t>
      </w:r>
    </w:p>
    <w:p>
      <w:r>
        <w:t>2</w:t>
      </w:r>
    </w:p>
    <w:p>
      <w:r>
        <w:t>ECdo</w:t>
      </w:r>
    </w:p>
    <w:p>
      <w:r>
        <w:t>233/2014</w:t>
      </w:r>
    </w:p>
    <w:p>
      <w:r>
        <w:t>z 30.</w:t>
      </w:r>
    </w:p>
    <w:p>
      <w:r>
        <w:t>apríla</w:t>
      </w:r>
    </w:p>
    <w:p>
      <w:r>
        <w:t>2015</w:t>
      </w:r>
    </w:p>
    <w:p>
      <w:r>
        <w:t>(Rvp</w:t>
      </w:r>
    </w:p>
    <w:p>
      <w:r>
        <w:t>11335/2015),</w:t>
      </w:r>
    </w:p>
    <w:p>
      <w:r>
        <w:t>2 Oboer 222/2013 z 29. apríla 2015 (Rvp 11336/2015), 3 Oboer 212/2014 z 21. mája 2015 (Rvp 11337/2015), 5 Oboer 164/2014 z 20. mája 2015 (Rvp 11338/2015), 2 ECdo 145/2014 z 29.</w:t>
      </w:r>
    </w:p>
    <w:p>
      <w:r>
        <w:t>apríla</w:t>
      </w:r>
    </w:p>
    <w:p>
      <w:r>
        <w:t>2015</w:t>
      </w:r>
    </w:p>
    <w:p>
      <w:r>
        <w:t>(Rvp</w:t>
      </w:r>
    </w:p>
    <w:p>
      <w:r>
        <w:t>11339/2015)</w:t>
      </w:r>
    </w:p>
    <w:p>
      <w:r>
        <w:t>(Rvp 11340/2015) a takto</w:t>
      </w:r>
    </w:p>
    <w:p>
      <w:r>
        <w:t>2</w:t>
      </w:r>
    </w:p>
    <w:p>
      <w:r>
        <w:t>a 2 Oboer 193/2014</w:t>
      </w:r>
    </w:p>
    <w:p>
      <w:r>
        <w:t>z 29.</w:t>
      </w:r>
    </w:p>
    <w:p>
      <w:r>
        <w:t>apríla</w:t>
      </w:r>
    </w:p>
    <w:p>
      <w:r>
        <w:t>2015</w:t>
      </w:r>
    </w:p>
    <w:p>
      <w:r>
        <w:t>rozhodol: 1. Sťažnosti obchodnej spoločnosti POHOTOVOSŤ, s. r. o., vedené pod spisovými značkami Rvp 10341/2015, Rvp 10342/2015, Rvp 10343/2015, Rvp 10344/2015, Rvp 10345/2015, Rvp 10346/2015, Rvp 10347/2015, Rvp 10348/2015, Rvp 10349/2015, Rvp 10350/2015, Rvp 10351/2015, Rvp 10393/2015, Rvp 10394/2015, Rvp 10395/2015, Rvp 10396/2015, Rvp 10397/2015, Rvp 10398/2015, Rvp 10399/2015, Rvp 10400/2015, Rvp 10401/2015, Rvp 10402/2015, Rvp 10403/2015, Rvp 11330/2015, Rvp 11331/2015, Rvp 11332/2015, Rvp 11333/2015, Rvp 11334/2015, Rvp 11335/2015, Rvp 11336/2015, Rvp 11337/2015, Rvp 11338/2015, Rvp 11339/2015, Rvp 11340/2015 s p á j a na spoločné konanie, ktoré bude ďalej vedené pod sp. zn. Rvp 10341/2015.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 Vzhľadom na to, že ústavný súd v týchto rozhodnutiach poukázal (upozornil) na nedostatky sťažností sťažovateľky, toto rozhodnutie v súlade s § 25 ods. 2 treťou vetou</w:t>
      </w:r>
    </w:p>
    <w:p>
      <w:r>
        <w:t>3</w:t>
      </w:r>
    </w:p>
    <w:p>
      <w:r>
        <w:t>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4</w:t>
      </w:r>
    </w:p>
    <w:p/>
    <w:p>
      <w:r>
        <w:t>Zdroj: KAUZIS.SK – https://www.kauzis.sk/judikatura/r/ECLI:SK:USSR:2016:3.US.389.2016.1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