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454/2016 z 7. 7. 2016</w:t>
      </w:r>
    </w:p>
    <w:p>
      <w:r>
        <w:t>Uznesenie Ústavného súdu SR z 7. júla 2016, sp. zn. III. ÚS 454/2016, ECLI:SK:USSR:2016:3.US.454.2016.1</w:t>
      </w:r>
    </w:p>
    <w:p>
      <w:r>
        <w:t>Súd: Ústavný súd Slovenskej republiky</w:t>
      </w:r>
    </w:p>
    <w:p>
      <w:r>
        <w:t>Spisová značka: III. ÚS 454/2016</w:t>
      </w:r>
    </w:p>
    <w:p>
      <w:r>
        <w:t>ECLI: ECLI:SK:USSR:2016:3.US.454.2016.1</w:t>
      </w:r>
    </w:p>
    <w:p>
      <w:r>
        <w:t>Dátum vydania: 7. 7. 2016</w:t>
      </w:r>
    </w:p>
    <w:p>
      <w:r>
        <w:t>Forma: Uznesenie</w:t>
      </w:r>
    </w:p>
    <w:p>
      <w:r>
        <w:t>Oblasť práva: Ústavné právo</w:t>
      </w:r>
    </w:p>
    <w:p>
      <w:pPr>
        <w:pStyle w:val="Heading2"/>
      </w:pPr>
      <w:r>
        <w:t>Text rozhodnutia</w:t>
      </w:r>
    </w:p>
    <w:p>
      <w:r>
        <w:t>SLOVENSKÁ REPUBLIKA</w:t>
      </w:r>
    </w:p>
    <w:p>
      <w:r>
        <w:t>UZNESENIE Ústavného súdu Slovenskej republiky III. ÚS 454/2016-14 Ústavný súd Slovenskej republiky na neverejnom zasadnutí senátu 7. júla 2016 predbežne prerokoval sťažnosti obchodnej spoločnosti POHOTOVOSŤ, s. r. o., Pribinova 25, Bratislava, zastúpenej obchodnou spoločnosťou Fridrich Paľko, s. r. o., Grösslingová 4, Bratislava, v mene ktorej koná konateľ a advokát doc. JUDr. Branislav Fridrich, PhD., vo veci namietaného porušenia jej základných práv podľa čl. 46 ods. 1 a čl. 48 ods. 1 Ústavy Slovenskej republiky a podľa čl. 47 Charty základných práv Európskej únie, ako aj práva podľa čl. 6 ods. 1 Dohovoru o ochrane ľudských práv a základných slobôd postupom a uzneseniami Krajského súdu v Prešove spisových značiek: 23 CoE 22/2012 zo 17. decembra 2012 (Rvp 10285/2015), 22 CoE 64/2013 z 27. júna 2013 (Rvp 10286/2015), 4 CoE 67/2012 z 24. augusta 2012 (Rvp 10287/2015), 2 CoE 60/2012 z 19. júla 2012 (Rvp 10288/2015), 10 CoE 33/2014 z 28. mája 2014 (Rvp 10289/2015), 1 CoE 69/2012 z 31. októbra 2012 (Rvp 10290/2015),11 CoE 67/2012 z 28. mája 2013 (Rvp 10291/2015), 4 CoE 68/2014 z 13. augusta 2014 (Rvp 10292/2015), 1 CoE 95/2013 z 13. júna 2013 (Rvp 10293/2015), 9 CoE 66/2013 z 28. augusta 2013 (Rvp 10294/2015), 19 CoE 200/2012 z 28. februára 2013 (Rvp 10295/2015), 22 CoE 57/2012 z 11. apríla 2013 (Rvp 10296/2015), 25 CoE 39/2012 z 18. apríla 2013 (Rvp 10297/2015), 18 CoE 82/2014 z 28. augusta 2014 (Rvp 10298/2015), 5 CoE 170/2013 z 27. decembra 2013 (Rvp 10299/2015), 5 CoE 92/2013 z 2. júla 2013 (Rvp 10300/2015), 8 CoE 92/2013 z 31. mája</w:t>
      </w:r>
    </w:p>
    <w:p>
      <w:r>
        <w:t>2013</w:t>
      </w:r>
    </w:p>
    <w:p>
      <w:r>
        <w:t>(Rvp</w:t>
      </w:r>
    </w:p>
    <w:p>
      <w:r>
        <w:t>10301/2015),</w:t>
      </w:r>
    </w:p>
    <w:p>
      <w:r>
        <w:t>20</w:t>
      </w:r>
    </w:p>
    <w:p>
      <w:r>
        <w:t>CoE</w:t>
      </w:r>
    </w:p>
    <w:p>
      <w:r>
        <w:t>114/2013</w:t>
      </w:r>
    </w:p>
    <w:p>
      <w:r>
        <w:t>z 30.</w:t>
      </w:r>
    </w:p>
    <w:p>
      <w:r>
        <w:t>augusta</w:t>
      </w:r>
    </w:p>
    <w:p>
      <w:r>
        <w:t>2013</w:t>
      </w:r>
    </w:p>
    <w:p>
      <w:r>
        <w:t>(Rvp 10302/2015), 2 CoE 95/2013 z 13. júna 2013 (Rvp 10303/2015),2 CoE 83/2013 z 13. júna 2013 (Rvp 10304/2015), 20 CoE 7/2013 z 26. marca 2013 (Rvp 10305/2015),</w:t>
      </w:r>
    </w:p>
    <w:p>
      <w:r>
        <w:t>20 CoE 69/2013 z 31. mája 2013 (Rvp 10306/2015), 23 CoE 89/2012 z 28. februára 2013 (Rvp 10307/2015), 4 CoE 175/2013 z 18. decembra 2013 (Rvp 10430/2015), 10 CoE 112/2012 zo 14. marca 2013 (Rvp 10431/2015), 3 CoE 128/2013 z 18. septembra 2013 (Rvp 10432/2015), 2 CoE 75/2013 z 30. mája 2013 (Rvp 10433/2015), 7 CoE 19/2013 z 28. februára 2013 (Rvp 10434/2015), 6 CoE 239/2012 z 29. novembra 2012 (Rvp 10435/2015), 13 CoE 87/2013 (Rvp 10436/2015), 9 CoE 90,91/2012 z 18. decembra 2012 (Rvp 10437/2015), 7 CoE 79/2013 z 29. apríla 2013 (Rvp 10438/2015), 3 CoE 133/2013 z 18. októbra 2013 (Rvp 10439/2015), 17 CoE 73/2013 z 23. apríla 2013 (Rvp 10440/2015), 2 CoE 73/2014 z 28. augusta 2014 (Rvp 10441/2015), 14 CoE 18/2013 z 28. februára 2013 (Rvp 11304/2015), 4 CoE 30/2014 z 30. apríla 2014 (Rvp 11305/2015), 2 CoE 96/2012 z 27. septembra 2012 (Rvp 11306/2015), 12 CoE 38/2012 z 26. júna 2012 (Rvp 11307/2015, 25 CoE 49/2014 z 30. septembra 2014 (Rvp 11308/2015), 5 CoE 140/2013 z 26. septembra 2013 (Rvp 11309/2015), 18 CoE 1/2014 z 30. novembra 2014 (Rvp 11310/2015), 23 CoE 18/2014 z 30. apríla 2014 (Rvp 11311/2015), 25 CoE 4/2013 z 11. júla 2013 (Rvp 11312/2015), 3 CoE 67/2012 z 5. septembra 2012 (Rvp 11313/2015), 15 CoE 2/2013 z 27. februára 2013 (Rvp 11314/2015), 14 CoE 46/2013 z 24. apríla 2013 (Rvp 11315/2015), 2 CoE 39/2014 z 29. mája 2014 (Rvp 11316/2015), 22 CoE 72/2013</w:t>
      </w:r>
    </w:p>
    <w:p>
      <w:r>
        <w:t>z 5.</w:t>
      </w:r>
    </w:p>
    <w:p>
      <w:r>
        <w:t>septembra</w:t>
      </w:r>
    </w:p>
    <w:p>
      <w:r>
        <w:t>2013</w:t>
      </w:r>
    </w:p>
    <w:p>
      <w:r>
        <w:t>(Rvp</w:t>
      </w:r>
    </w:p>
    <w:p>
      <w:r>
        <w:t>11317/2015),</w:t>
      </w:r>
    </w:p>
    <w:p>
      <w:r>
        <w:t>14</w:t>
      </w:r>
    </w:p>
    <w:p>
      <w:r>
        <w:t>CoE</w:t>
      </w:r>
    </w:p>
    <w:p>
      <w:r>
        <w:t>31/2013</w:t>
      </w:r>
    </w:p>
    <w:p>
      <w:r>
        <w:t>(Rvp 11318/2015), 11 CoE 91/2012 z 29. apríla 2013 (Rvp 11319/2015), 27 CoE 24/2014 z 31. júla 2014 (Rvp 11320/2015), 5 CoE 49/2013 z 25. apríla 2013 (Rvp 11321/2015) a 14 CoE 3/2013 z 3. januára 2013 (Rvp 11322/2015); ako aj postupom a uzneseniami Najvyššieho súdu Slovenskej republiky spisových značiek: 2 Oboer 206/2013 z 26. marca 2015 (Rvp 10285/2015), 4 ECdo 56/2014 z 19. februára 2015 (Rvp 10286/2015), 3 Oboer 261/2013 z 28. októbra 2014 (Rvp 10287/2015), 5 Oboer 23/2014 z 28. januára 2015 (Rvp 10288/2015), 3 ECdo 27/2015 z 27. apríla 2015 (Rvp 10289/2015), 5 ECdo 60/2014 z 24. februára 2015 (Rvp 10290/2015), 2 Oboer 269/2013 z 26. marca 2015 (Rvp 10291/2015), 8 ECdo 29/2015 z 15. apríla 2015 (Rvp 10292/2015), 3 ECdo 225/2014 z 5. marca 2015 (Rvp 10293/2015), 2 Ecdo 137/2014 z 25. februára 2015 (Rvp 10294/2015), 3 ECdo 63/2014 z 19. marca 2015 (Rvp 10295/2015), 5 Oboer 38/2014 z 31. marca 2015 (Rvp 10296/2015), 7 ECdo 195/2014 z 28. januára 2015 (Rvp 10297/2015), 8 ECdo 13/2015 z 15. apríla 2015 (Rvp 10298/2015), 2 ECdo 197/2014</w:t>
      </w:r>
    </w:p>
    <w:p>
      <w:r>
        <w:t>2</w:t>
      </w:r>
    </w:p>
    <w:p>
      <w:r>
        <w:t>z 31. marca 2015 (Rvp 10299/2015), 5 Oboer 48/2014 z 31. marca 2015 (Rvp 10300/2015), 1 Oboer 182/2014 z 24. februára 2015 (Rvp 10301/2015), 7 ECdo 157/2014 z 23. marca 2015 (Rvp 10302/2015), 7 ECdo 275/2014 z 28. januára 2015 (Rvp 10303/2015), 1 ECdo 37/2014 z 21. apríla 2015 (Rvp 10304/2015), 5 Oboer 168/2014 z 16. apríla 2015 (Rvp 10305/2015), 6 ECdo 149/2014 z 21. apríla 2015 (Rvp 10306/2015), 1 ECdo 26/2014 z 30. októbra 2014 (Rvp 10307/2015), 3 ECdo 208/2014 z 27. apríla 2015 (Rvp 10430/2015), 6 ECdo 72/2014 z 21. apríla 2015 (Rvp 10431/2015), 5 Oboer 306/2014 z 30.</w:t>
      </w:r>
    </w:p>
    <w:p>
      <w:r>
        <w:t>marca</w:t>
      </w:r>
    </w:p>
    <w:p>
      <w:r>
        <w:t>2015</w:t>
      </w:r>
    </w:p>
    <w:p>
      <w:r>
        <w:t>(Rvp 10433/2015),</w:t>
      </w:r>
    </w:p>
    <w:p>
      <w:r>
        <w:t>(Rvp 3</w:t>
      </w:r>
    </w:p>
    <w:p>
      <w:r>
        <w:t>10432/2015),</w:t>
      </w:r>
    </w:p>
    <w:p>
      <w:r>
        <w:t>Oboer</w:t>
      </w:r>
    </w:p>
    <w:p>
      <w:r>
        <w:t>160/2014</w:t>
      </w:r>
    </w:p>
    <w:p>
      <w:r>
        <w:t>3</w:t>
      </w:r>
    </w:p>
    <w:p>
      <w:r>
        <w:t>Oboer</w:t>
      </w:r>
    </w:p>
    <w:p>
      <w:r>
        <w:t>z 20.</w:t>
      </w:r>
    </w:p>
    <w:p>
      <w:r>
        <w:t>173/2014</w:t>
      </w:r>
    </w:p>
    <w:p>
      <w:r>
        <w:t>apríla</w:t>
      </w:r>
    </w:p>
    <w:p>
      <w:r>
        <w:t>2015</w:t>
      </w:r>
    </w:p>
    <w:p>
      <w:r>
        <w:t>z 29.</w:t>
      </w:r>
    </w:p>
    <w:p>
      <w:r>
        <w:t>apríla</w:t>
      </w:r>
    </w:p>
    <w:p>
      <w:r>
        <w:t>2015</w:t>
      </w:r>
    </w:p>
    <w:p>
      <w:r>
        <w:t>(Rvp</w:t>
      </w:r>
    </w:p>
    <w:p>
      <w:r>
        <w:t>10434/2015),</w:t>
      </w:r>
    </w:p>
    <w:p>
      <w:r>
        <w:t>1 ECdo 228/2013 zo 17. marca 2015 (Rvp 10435/2015), 1 Oboer 226/2014 z 31. marca 2015 (Rvp 10436/2015), 1 ECdo 39/2014 z 21. apríla 2015 (Rvp 10437/2015), 3 Oboer 175/2014 z 29. apríla 2015 (Rvp 10438/2015), 3 Oboer 148/2014 z 20. apríla 2015 (Rvp 10439/2015), 5 ECdo 66/2014 z 31. októbra 2015 (Rvp 10440/2015), 8 ECdo 14/2015 z 13. mája 2015 (Rvp 10441/2015), 2 ECdo</w:t>
      </w:r>
    </w:p>
    <w:p>
      <w:r>
        <w:t>121/2014 z 25. februára 2015</w:t>
      </w:r>
    </w:p>
    <w:p>
      <w:r>
        <w:t>(Rvp 11304/2015), 8 ECdo 40/2015 z 15. apríla 2015 (Rvp 11305/2015), 1 Oboer 147/2013 zo 17. marca 2015 (Rvp 11306/2015), 8 ECdo 1/2015 z 15. apríla 2015 (Rvp 11307/2015), 2 ECdo 21/2015 z 29. apríla 2015 (Rvp 11308/2015), 3 Oboer 147/2014 z 30. marca 2015 (Rvp 11309/2015), 3 ECdo 267/2014 zo 7. apríla 2015 (Rvp 11310/2015), 6 ECdo 27/2015 z 31. marca 2015 (Rvp 11311/2015), 6 ECdo 177/2014 z 26. mája 2015 (Rvp 11312/2015), 7 ECdo 219/2014 z 28. apríla 2015 (Rvp 11313/2015), 7 ECdo 296/2014 z 15. apríla 2015 (Rvp 11314/2015), 3 Oboer 326/2013 zo 6. novembra 2014 (Rvp 11315/2015), 8 ECdo 57/2015 z 13. mája 2015 (Rvp 11316/2015), 5 ECdo 215/2014 z 8. decembra 2014 (Rvp 11317/2015), 6 ECdo 98/2014 z 29. apríla 2015 (Rvp 11318/2015), 5 Oboer 115/2014 z 20. mája 2015 (Rvp 11319/2015), 2 ECdo 41/2015 z 30. apríla 2015 (Rvp 11320/2015), 7 ECdo 202/2014 z 28. apríla 2015 (Rvp 11321/2015) a 3 Oboer 169/2014 z 18. mája 2015 (Rvp 11322/2015) a takto rozhodol: 1. Sťažnosti obchodnej spoločnosti POHOTOVOSŤ, s. r. o., vedené pod spisovými značkami: Rvp 10285/2015, Rvp 10286/2015, Rvp 10287/2015, Rvp 10288/2015,</w:t>
      </w:r>
    </w:p>
    <w:p>
      <w:r>
        <w:t>3</w:t>
      </w:r>
    </w:p>
    <w:p>
      <w:r>
        <w:t>Rvp 10289/2015, Rvp 10290/2015, Rvp 10291/2015, Rvp 10292/2015, Rvp 10293/2015, Rvp 10294/2015, Rvp 10295/2015, Rvp 10296/2015, Rvp 10297/2015, Rvp 10298/2015, Rvp 10299/2015, Rvp 10300/2015, Rvp 10301/2015, Rvp 10302/2015, Rvp 10303/2015, Rvp 10304/2015, Rvp 10305/2015, Rvp 10306/2015, Rvp 10307/2015, Rvp 10430/2015, Rvp 10431/2015, Rvp 10432/2015, Rvp 10433/2015, Rvp 10434/2015, Rvp 10435/2015, Rvp 10436/2015, Rvp 10437/2015, Rvp 10438/2015, Rvp 10439/2015, Rvp 10440/2015, Rvp 10441/2015, Rvp 11304/2015, Rvp 11305/2015, Rvp 11306/2015, Rvp 11307/2015, Rvp 11308/2015, Rvp 11309/2015, Rvp 11310/2015, Rvp 11311/2015, Rvp 11312/2015, Rvp 11313/2015, Rvp 11314/2015, Rvp 11315/2015, Rvp 11316/2015, Rvp 11317/2015, Rvp 11318/2015, Rvp 11319/2015, Rvp 11320/2015, Rvp 11321/2015 a Rvp 11322/2015 s p á j a na spoločné konanie, ktoré bude ďalej vedené pod sp. zn. Rvp 10285/2015. 2. Sťažnosti obchodnej spoločnosti POHOTOVOSŤ, s. r. o., o d m i e t a ako zjavne neopodstatnené. Odôvodnenie: V súvislosti s obsahom sťažností uvedených v záhlaví tohto rozhodnutia Ústavný súd Slovenskej republiky (ďalej len „ústavný súd“) po ich preskúmaní konštatuje, že o obdobných sťažnostiach sťažovateľky už viackrát rozhodol, pričom ich vo vzťahu k postupu a rozhodnutiam odvolacích súdov odmietol ako zjavne neopodstatnené (napr. I. ÚS 382/2012 z 22. augusta 2012, II. ÚS 303/2012 z 5. septembra 2012, III. ÚS 7/2013 z 15. januára 2013, II. ÚS 377/2013 z 26. júna 2013 a. III. ÚS 386/2013 z 28. augusta 2013) a taktiež ich odmietol z dôvodu zjavnej neopodstatnenosti aj vo vzťahu k postupu a rozhodnutiam dovolacieho súdu (napr. I. ÚS 626/2014 z 28. októbra 2014; II. ÚS 140/2014, II. ÚS 141/2014, II. ÚS 145/2014 a II. ÚS 146/2014 z 5. februára 2014; III. ÚS 382/2014 zo 17. júna 2014). Vzhľadom na to, že ústavný súd v týchto rozhodnutiach poukázal (upozornil) na nedostatky sťažností sťažovateľky, toto rozhodnutie v súlade s § 25 ods. 2 treťou vetou zákona Národnej rady Slovenskej republiky č. 38/1993 Z. z. o organizácii Ústavného súdu</w:t>
      </w:r>
    </w:p>
    <w:p>
      <w:r>
        <w:t>4</w:t>
      </w:r>
    </w:p>
    <w:p>
      <w:r>
        <w:t>Slovenskej republiky, o konaní pred ním a o postavení jeho sudcov v znení neskorších predpisov neodôvodňuje. P o u č e n i e : Proti tomuto rozhodnutiu nemožno podať opravný prostriedok. V Košiciach 7. júla 2016</w:t>
      </w:r>
    </w:p>
    <w:p>
      <w:r>
        <w:t>5</w:t>
      </w:r>
    </w:p>
    <w:p/>
    <w:p>
      <w:r>
        <w:t>Zdroj: KAUZIS.SK – https://www.kauzis.sk/judikatura/r/ECLI:SK:USSR:2016:3.US.454.2016.1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